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CE62" w14:textId="77777777" w:rsidR="00C375FC" w:rsidRPr="00E460C1" w:rsidRDefault="00C375FC" w:rsidP="00C375FC">
      <w:pPr>
        <w:rPr>
          <w:rFonts w:ascii="Arial" w:hAnsi="Arial" w:cs="Arial"/>
          <w:sz w:val="22"/>
          <w:szCs w:val="22"/>
          <w:highlight w:val="yellow"/>
          <w:lang w:val="de-CH"/>
        </w:rPr>
      </w:pPr>
      <w:r w:rsidRPr="00E460C1">
        <w:rPr>
          <w:rFonts w:ascii="Arial" w:hAnsi="Arial" w:cs="Arial"/>
          <w:sz w:val="22"/>
          <w:szCs w:val="22"/>
          <w:highlight w:val="yellow"/>
          <w:lang w:val="de-CH"/>
        </w:rPr>
        <w:t>Dr. med. Fritz Muster</w:t>
      </w:r>
    </w:p>
    <w:p w14:paraId="33396CA1" w14:textId="77777777" w:rsidR="00C375FC" w:rsidRPr="00E460C1" w:rsidRDefault="00C375FC" w:rsidP="00C375FC">
      <w:pPr>
        <w:rPr>
          <w:rFonts w:ascii="Arial" w:hAnsi="Arial" w:cs="Arial"/>
          <w:sz w:val="22"/>
          <w:szCs w:val="22"/>
          <w:highlight w:val="yellow"/>
          <w:lang w:val="de-CH"/>
        </w:rPr>
      </w:pPr>
      <w:r w:rsidRPr="00E460C1">
        <w:rPr>
          <w:rFonts w:ascii="Arial" w:hAnsi="Arial" w:cs="Arial"/>
          <w:sz w:val="22"/>
          <w:szCs w:val="22"/>
          <w:highlight w:val="yellow"/>
          <w:lang w:val="de-CH"/>
        </w:rPr>
        <w:t>Praxis Muster</w:t>
      </w:r>
    </w:p>
    <w:p w14:paraId="3D092D09" w14:textId="77777777" w:rsidR="00C375FC" w:rsidRPr="00E460C1" w:rsidRDefault="00C375FC" w:rsidP="00C375FC">
      <w:pPr>
        <w:rPr>
          <w:rFonts w:ascii="Arial" w:hAnsi="Arial" w:cs="Arial"/>
          <w:sz w:val="22"/>
          <w:szCs w:val="22"/>
          <w:highlight w:val="yellow"/>
          <w:lang w:val="de-CH"/>
        </w:rPr>
      </w:pPr>
      <w:r w:rsidRPr="00E460C1">
        <w:rPr>
          <w:rFonts w:ascii="Arial" w:hAnsi="Arial" w:cs="Arial"/>
          <w:sz w:val="22"/>
          <w:szCs w:val="22"/>
          <w:highlight w:val="yellow"/>
          <w:lang w:val="de-CH"/>
        </w:rPr>
        <w:t>Birkenweg 1</w:t>
      </w:r>
    </w:p>
    <w:p w14:paraId="2411963A" w14:textId="77777777" w:rsidR="00C375FC" w:rsidRPr="00E460C1" w:rsidRDefault="00C375FC" w:rsidP="00C375FC">
      <w:pPr>
        <w:rPr>
          <w:rFonts w:ascii="Arial" w:hAnsi="Arial" w:cs="Arial"/>
          <w:sz w:val="22"/>
          <w:szCs w:val="22"/>
          <w:highlight w:val="yellow"/>
          <w:lang w:val="de-CH"/>
        </w:rPr>
      </w:pPr>
      <w:r w:rsidRPr="00E460C1">
        <w:rPr>
          <w:rFonts w:ascii="Arial" w:hAnsi="Arial" w:cs="Arial"/>
          <w:sz w:val="22"/>
          <w:szCs w:val="22"/>
          <w:highlight w:val="yellow"/>
          <w:lang w:val="de-CH"/>
        </w:rPr>
        <w:t>Telefon 032 686 20 20</w:t>
      </w:r>
    </w:p>
    <w:p w14:paraId="51BCEE62" w14:textId="77777777" w:rsidR="00C375FC" w:rsidRPr="00FA327A" w:rsidRDefault="00C375FC" w:rsidP="00C375FC">
      <w:pPr>
        <w:rPr>
          <w:rFonts w:ascii="Arial" w:hAnsi="Arial" w:cs="Arial"/>
          <w:sz w:val="22"/>
          <w:szCs w:val="22"/>
          <w:lang w:val="de-CH"/>
        </w:rPr>
      </w:pPr>
      <w:r w:rsidRPr="00FA327A">
        <w:rPr>
          <w:rFonts w:ascii="Arial" w:hAnsi="Arial" w:cs="Arial"/>
          <w:sz w:val="22"/>
          <w:szCs w:val="22"/>
          <w:highlight w:val="yellow"/>
          <w:lang w:val="de-CH"/>
        </w:rPr>
        <w:t>E-Mail fritz.muster@hin.ch</w:t>
      </w:r>
      <w:r w:rsidRPr="00FA327A">
        <w:rPr>
          <w:rFonts w:ascii="Arial" w:hAnsi="Arial" w:cs="Arial"/>
          <w:sz w:val="22"/>
          <w:szCs w:val="22"/>
          <w:highlight w:val="yellow"/>
          <w:lang w:val="de-CH"/>
        </w:rPr>
        <w:tab/>
      </w:r>
      <w:r w:rsidRPr="00FA327A">
        <w:rPr>
          <w:rFonts w:ascii="Arial" w:hAnsi="Arial" w:cs="Arial"/>
          <w:sz w:val="22"/>
          <w:szCs w:val="22"/>
          <w:lang w:val="de-CH"/>
        </w:rPr>
        <w:tab/>
      </w:r>
      <w:r w:rsidRPr="00FA327A">
        <w:rPr>
          <w:rFonts w:ascii="Arial" w:hAnsi="Arial" w:cs="Arial"/>
          <w:sz w:val="22"/>
          <w:szCs w:val="22"/>
          <w:lang w:val="de-CH"/>
        </w:rPr>
        <w:tab/>
      </w:r>
      <w:r w:rsidRPr="00FA327A">
        <w:rPr>
          <w:rFonts w:ascii="Arial" w:hAnsi="Arial" w:cs="Arial"/>
          <w:sz w:val="22"/>
          <w:szCs w:val="22"/>
          <w:lang w:val="de-CH"/>
        </w:rPr>
        <w:tab/>
      </w:r>
    </w:p>
    <w:p w14:paraId="58121219" w14:textId="77777777" w:rsidR="00C375FC" w:rsidRPr="00FA327A" w:rsidRDefault="00C375FC" w:rsidP="00C375FC">
      <w:pPr>
        <w:ind w:left="5529"/>
        <w:rPr>
          <w:rFonts w:ascii="Arial" w:hAnsi="Arial" w:cs="Arial"/>
          <w:sz w:val="22"/>
          <w:szCs w:val="22"/>
          <w:highlight w:val="yellow"/>
          <w:lang w:val="de-CH"/>
        </w:rPr>
      </w:pPr>
    </w:p>
    <w:p w14:paraId="484D2385" w14:textId="77777777" w:rsidR="00C375FC" w:rsidRPr="00E460C1" w:rsidRDefault="00C375FC" w:rsidP="00C375FC">
      <w:pPr>
        <w:ind w:left="5245"/>
        <w:rPr>
          <w:rFonts w:ascii="Arial" w:hAnsi="Arial" w:cs="Arial"/>
          <w:sz w:val="22"/>
          <w:szCs w:val="22"/>
          <w:highlight w:val="yellow"/>
          <w:lang w:val="de-DE"/>
        </w:rPr>
      </w:pPr>
      <w:r w:rsidRPr="00E460C1">
        <w:rPr>
          <w:rFonts w:ascii="Arial" w:hAnsi="Arial" w:cs="Arial"/>
          <w:sz w:val="22"/>
          <w:szCs w:val="22"/>
          <w:highlight w:val="yellow"/>
          <w:lang w:val="de-DE"/>
        </w:rPr>
        <w:t xml:space="preserve">Krankenversicherung </w:t>
      </w:r>
    </w:p>
    <w:p w14:paraId="5258885F" w14:textId="77777777" w:rsidR="00C375FC" w:rsidRPr="00E460C1" w:rsidRDefault="00C375FC" w:rsidP="00C375FC">
      <w:pPr>
        <w:ind w:left="5245"/>
        <w:rPr>
          <w:rFonts w:ascii="Arial" w:hAnsi="Arial" w:cs="Arial"/>
          <w:sz w:val="22"/>
          <w:szCs w:val="22"/>
          <w:highlight w:val="yellow"/>
          <w:lang w:val="de-DE"/>
        </w:rPr>
      </w:pPr>
      <w:r w:rsidRPr="00E460C1">
        <w:rPr>
          <w:rFonts w:ascii="Arial" w:hAnsi="Arial" w:cs="Arial"/>
          <w:sz w:val="22"/>
          <w:szCs w:val="22"/>
          <w:highlight w:val="yellow"/>
          <w:lang w:val="de-DE"/>
        </w:rPr>
        <w:t>z. Hd. Vertrauensärztlicher Dienst</w:t>
      </w:r>
    </w:p>
    <w:p w14:paraId="2974834C" w14:textId="77777777" w:rsidR="00C375FC" w:rsidRPr="00E460C1" w:rsidRDefault="00C375FC" w:rsidP="00C375FC">
      <w:pPr>
        <w:ind w:left="5245"/>
        <w:rPr>
          <w:rFonts w:ascii="Arial" w:hAnsi="Arial" w:cs="Arial"/>
          <w:sz w:val="22"/>
          <w:szCs w:val="22"/>
          <w:highlight w:val="yellow"/>
          <w:lang w:val="de-DE"/>
        </w:rPr>
      </w:pPr>
      <w:r>
        <w:rPr>
          <w:rFonts w:ascii="Arial" w:hAnsi="Arial" w:cs="Arial"/>
          <w:sz w:val="22"/>
          <w:szCs w:val="22"/>
          <w:highlight w:val="yellow"/>
          <w:lang w:val="de-DE"/>
        </w:rPr>
        <w:t>Strasse</w:t>
      </w:r>
    </w:p>
    <w:p w14:paraId="75DDCBD4" w14:textId="77777777" w:rsidR="00C375FC" w:rsidRPr="00E460C1" w:rsidRDefault="00C375FC" w:rsidP="00C375FC">
      <w:pPr>
        <w:ind w:left="5245"/>
        <w:rPr>
          <w:rFonts w:ascii="Arial" w:hAnsi="Arial" w:cs="Arial"/>
          <w:sz w:val="22"/>
          <w:szCs w:val="22"/>
          <w:lang w:val="de-DE"/>
        </w:rPr>
      </w:pPr>
      <w:r>
        <w:rPr>
          <w:rFonts w:ascii="Arial" w:hAnsi="Arial" w:cs="Arial"/>
          <w:sz w:val="22"/>
          <w:szCs w:val="22"/>
          <w:highlight w:val="yellow"/>
          <w:lang w:val="de-DE"/>
        </w:rPr>
        <w:t>PLZ, Ort</w:t>
      </w:r>
    </w:p>
    <w:p w14:paraId="58E18052" w14:textId="77777777" w:rsidR="00C375FC" w:rsidRPr="00E460C1" w:rsidRDefault="00C375FC" w:rsidP="00C375FC">
      <w:pPr>
        <w:ind w:left="5245"/>
        <w:rPr>
          <w:rFonts w:ascii="Arial" w:hAnsi="Arial" w:cs="Arial"/>
          <w:sz w:val="22"/>
          <w:szCs w:val="22"/>
          <w:lang w:val="de-CH"/>
        </w:rPr>
      </w:pPr>
    </w:p>
    <w:p w14:paraId="5E04B0D0" w14:textId="77777777" w:rsidR="00C375FC" w:rsidRPr="00E460C1" w:rsidRDefault="00C375FC" w:rsidP="00C375FC">
      <w:pPr>
        <w:ind w:left="5245"/>
        <w:rPr>
          <w:rFonts w:ascii="Arial" w:hAnsi="Arial" w:cs="Arial"/>
          <w:sz w:val="22"/>
          <w:szCs w:val="22"/>
          <w:lang w:val="de-CH"/>
        </w:rPr>
      </w:pPr>
    </w:p>
    <w:p w14:paraId="75001265" w14:textId="77777777" w:rsidR="00C375FC" w:rsidRPr="00E460C1" w:rsidRDefault="00C375FC" w:rsidP="00C375FC">
      <w:pPr>
        <w:ind w:left="5245"/>
        <w:rPr>
          <w:rFonts w:ascii="Arial" w:hAnsi="Arial" w:cs="Arial"/>
          <w:sz w:val="22"/>
          <w:szCs w:val="22"/>
          <w:lang w:val="de-CH"/>
        </w:rPr>
      </w:pPr>
    </w:p>
    <w:p w14:paraId="1ECEB00B" w14:textId="77777777" w:rsidR="00C375FC" w:rsidRPr="007E032C" w:rsidRDefault="00C375FC" w:rsidP="00C375FC">
      <w:pPr>
        <w:ind w:left="5245"/>
        <w:rPr>
          <w:rFonts w:ascii="Arial" w:hAnsi="Arial" w:cs="Arial"/>
          <w:sz w:val="22"/>
          <w:szCs w:val="22"/>
          <w:lang w:val="de-CH"/>
        </w:rPr>
      </w:pPr>
      <w:r w:rsidRPr="00C375FC">
        <w:rPr>
          <w:rFonts w:ascii="Arial" w:hAnsi="Arial" w:cs="Arial"/>
          <w:sz w:val="22"/>
          <w:szCs w:val="22"/>
          <w:highlight w:val="yellow"/>
          <w:lang w:val="de-CH"/>
        </w:rPr>
        <w:t>Ort, Datum</w:t>
      </w:r>
    </w:p>
    <w:p w14:paraId="7A445981" w14:textId="77777777" w:rsidR="00C375FC" w:rsidRPr="00E460C1" w:rsidRDefault="00C375FC" w:rsidP="00C375FC">
      <w:pPr>
        <w:ind w:left="5245"/>
        <w:rPr>
          <w:rFonts w:ascii="Arial" w:hAnsi="Arial" w:cs="Arial"/>
          <w:sz w:val="22"/>
          <w:szCs w:val="22"/>
          <w:lang w:val="de-CH"/>
        </w:rPr>
      </w:pPr>
    </w:p>
    <w:p w14:paraId="2B2A9CF4" w14:textId="77777777" w:rsidR="00C375FC" w:rsidRPr="00E460C1" w:rsidRDefault="00C375FC" w:rsidP="00C375FC">
      <w:pPr>
        <w:ind w:left="5760"/>
        <w:rPr>
          <w:rFonts w:ascii="Arial" w:hAnsi="Arial" w:cs="Arial"/>
          <w:sz w:val="22"/>
          <w:szCs w:val="22"/>
          <w:lang w:val="de-CH"/>
        </w:rPr>
      </w:pPr>
    </w:p>
    <w:p w14:paraId="1CD4167B" w14:textId="77777777" w:rsidR="00C375FC" w:rsidRPr="00E460C1" w:rsidRDefault="00C375FC" w:rsidP="00C375FC">
      <w:pPr>
        <w:rPr>
          <w:rFonts w:ascii="Arial" w:hAnsi="Arial" w:cs="Arial"/>
          <w:b/>
          <w:bCs/>
          <w:sz w:val="22"/>
          <w:szCs w:val="22"/>
          <w:lang w:val="de-CH"/>
        </w:rPr>
      </w:pPr>
      <w:r w:rsidRPr="00E460C1">
        <w:rPr>
          <w:rFonts w:ascii="Arial" w:hAnsi="Arial" w:cs="Arial"/>
          <w:b/>
          <w:bCs/>
          <w:sz w:val="22"/>
          <w:szCs w:val="22"/>
          <w:lang w:val="de-CH"/>
        </w:rPr>
        <w:t xml:space="preserve">Kostengutsprachegesuch </w:t>
      </w:r>
      <w:r>
        <w:rPr>
          <w:rFonts w:ascii="Arial" w:hAnsi="Arial" w:cs="Arial"/>
          <w:b/>
          <w:bCs/>
          <w:sz w:val="22"/>
          <w:szCs w:val="22"/>
          <w:lang w:val="de-CH"/>
        </w:rPr>
        <w:t>gemäss Art. 71c</w:t>
      </w:r>
      <w:r w:rsidRPr="00E460C1">
        <w:rPr>
          <w:rFonts w:ascii="Arial" w:hAnsi="Arial" w:cs="Arial"/>
          <w:b/>
          <w:bCs/>
          <w:sz w:val="22"/>
          <w:szCs w:val="22"/>
          <w:lang w:val="de-CH"/>
        </w:rPr>
        <w:t xml:space="preserve"> KVV </w:t>
      </w:r>
      <w:r>
        <w:rPr>
          <w:rFonts w:ascii="Arial" w:hAnsi="Arial" w:cs="Arial"/>
          <w:b/>
          <w:bCs/>
          <w:sz w:val="22"/>
          <w:szCs w:val="22"/>
          <w:lang w:val="de-CH"/>
        </w:rPr>
        <w:t>für die Behandlung mit Vesoxx</w:t>
      </w:r>
      <w:r w:rsidRPr="00E460C1">
        <w:rPr>
          <w:rFonts w:ascii="Arial" w:hAnsi="Arial" w:cs="Arial"/>
          <w:b/>
          <w:bCs/>
          <w:sz w:val="22"/>
          <w:szCs w:val="22"/>
          <w:vertAlign w:val="superscript"/>
          <w:lang w:val="de-CH"/>
        </w:rPr>
        <w:t>®</w:t>
      </w:r>
      <w:r w:rsidRPr="00E460C1">
        <w:rPr>
          <w:rFonts w:ascii="Arial" w:hAnsi="Arial" w:cs="Arial"/>
          <w:b/>
          <w:bCs/>
          <w:sz w:val="22"/>
          <w:szCs w:val="22"/>
          <w:lang w:val="de-CH"/>
        </w:rPr>
        <w:t xml:space="preserve"> </w:t>
      </w:r>
    </w:p>
    <w:p w14:paraId="0F6F3E5C" w14:textId="77777777" w:rsidR="00C375FC" w:rsidRPr="00E460C1" w:rsidRDefault="00C375FC" w:rsidP="00C375FC">
      <w:pPr>
        <w:rPr>
          <w:rFonts w:ascii="Arial" w:hAnsi="Arial" w:cs="Arial"/>
          <w:b/>
          <w:sz w:val="22"/>
          <w:szCs w:val="22"/>
          <w:lang w:val="de-CH"/>
        </w:rPr>
      </w:pPr>
    </w:p>
    <w:p w14:paraId="39B80273" w14:textId="77777777" w:rsidR="00C375FC" w:rsidRPr="00E460C1" w:rsidRDefault="00C375FC" w:rsidP="00C375FC">
      <w:pPr>
        <w:rPr>
          <w:rFonts w:ascii="Arial" w:hAnsi="Arial" w:cs="Arial"/>
          <w:sz w:val="22"/>
          <w:szCs w:val="22"/>
          <w:lang w:val="de-CH"/>
        </w:rPr>
      </w:pPr>
      <w:r w:rsidRPr="00E460C1">
        <w:rPr>
          <w:rFonts w:ascii="Arial" w:hAnsi="Arial" w:cs="Arial"/>
          <w:b/>
          <w:sz w:val="22"/>
          <w:szCs w:val="22"/>
          <w:lang w:val="de-CH"/>
        </w:rPr>
        <w:t xml:space="preserve">Betrifft: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819"/>
      </w:tblGrid>
      <w:tr w:rsidR="00C375FC" w:rsidRPr="007774BC" w14:paraId="50D118E0" w14:textId="77777777" w:rsidTr="007E032C">
        <w:trPr>
          <w:trHeight w:val="288"/>
        </w:trPr>
        <w:tc>
          <w:tcPr>
            <w:tcW w:w="3686" w:type="dxa"/>
            <w:shd w:val="clear" w:color="auto" w:fill="auto"/>
            <w:noWrap/>
            <w:hideMark/>
          </w:tcPr>
          <w:p w14:paraId="6342C400"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Name</w:t>
            </w:r>
          </w:p>
        </w:tc>
        <w:tc>
          <w:tcPr>
            <w:tcW w:w="4819" w:type="dxa"/>
            <w:shd w:val="clear" w:color="auto" w:fill="auto"/>
            <w:noWrap/>
            <w:hideMark/>
          </w:tcPr>
          <w:p w14:paraId="1366261E" w14:textId="77777777" w:rsidR="00C375FC" w:rsidRPr="007774BC" w:rsidRDefault="00C375FC" w:rsidP="007E032C">
            <w:pPr>
              <w:pStyle w:val="Text"/>
              <w:spacing w:line="276" w:lineRule="auto"/>
              <w:jc w:val="left"/>
              <w:rPr>
                <w:rFonts w:ascii="Arial" w:hAnsi="Arial" w:cs="Arial"/>
                <w:sz w:val="22"/>
                <w:szCs w:val="22"/>
                <w:lang w:val="de-CH"/>
              </w:rPr>
            </w:pPr>
            <w:r w:rsidRPr="007774BC">
              <w:rPr>
                <w:rFonts w:ascii="Arial" w:hAnsi="Arial" w:cs="Arial"/>
                <w:sz w:val="22"/>
                <w:szCs w:val="22"/>
                <w:lang w:val="de-CH"/>
              </w:rPr>
              <w:t>Muster</w:t>
            </w:r>
          </w:p>
        </w:tc>
      </w:tr>
      <w:tr w:rsidR="00C375FC" w:rsidRPr="007774BC" w14:paraId="3827AFC8" w14:textId="77777777" w:rsidTr="007E032C">
        <w:trPr>
          <w:trHeight w:val="288"/>
        </w:trPr>
        <w:tc>
          <w:tcPr>
            <w:tcW w:w="3686" w:type="dxa"/>
            <w:shd w:val="clear" w:color="auto" w:fill="auto"/>
            <w:noWrap/>
            <w:hideMark/>
          </w:tcPr>
          <w:p w14:paraId="00B42A43"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Vorname</w:t>
            </w:r>
          </w:p>
        </w:tc>
        <w:tc>
          <w:tcPr>
            <w:tcW w:w="4819" w:type="dxa"/>
            <w:shd w:val="clear" w:color="auto" w:fill="auto"/>
            <w:noWrap/>
            <w:hideMark/>
          </w:tcPr>
          <w:p w14:paraId="1AC5FA80" w14:textId="77777777" w:rsidR="00C375FC" w:rsidRPr="007774BC" w:rsidRDefault="00C375FC" w:rsidP="007E032C">
            <w:pPr>
              <w:pStyle w:val="Text"/>
              <w:spacing w:line="276" w:lineRule="auto"/>
              <w:jc w:val="left"/>
              <w:rPr>
                <w:rFonts w:ascii="Arial" w:hAnsi="Arial" w:cs="Arial"/>
                <w:sz w:val="22"/>
                <w:szCs w:val="22"/>
                <w:lang w:val="de-CH"/>
              </w:rPr>
            </w:pPr>
            <w:r w:rsidRPr="007774BC">
              <w:rPr>
                <w:rFonts w:ascii="Arial" w:hAnsi="Arial" w:cs="Arial"/>
                <w:sz w:val="22"/>
                <w:szCs w:val="22"/>
                <w:lang w:val="de-CH"/>
              </w:rPr>
              <w:t>Peter</w:t>
            </w:r>
          </w:p>
        </w:tc>
      </w:tr>
      <w:tr w:rsidR="00C375FC" w:rsidRPr="007774BC" w14:paraId="69229268" w14:textId="77777777" w:rsidTr="007E032C">
        <w:trPr>
          <w:trHeight w:val="288"/>
        </w:trPr>
        <w:tc>
          <w:tcPr>
            <w:tcW w:w="3686" w:type="dxa"/>
            <w:shd w:val="clear" w:color="auto" w:fill="auto"/>
            <w:noWrap/>
          </w:tcPr>
          <w:p w14:paraId="658F623C"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Geburtsdatum</w:t>
            </w:r>
          </w:p>
        </w:tc>
        <w:tc>
          <w:tcPr>
            <w:tcW w:w="4819" w:type="dxa"/>
            <w:shd w:val="clear" w:color="auto" w:fill="auto"/>
            <w:noWrap/>
          </w:tcPr>
          <w:p w14:paraId="48B88066" w14:textId="77777777" w:rsidR="00C375FC" w:rsidRPr="007774BC" w:rsidRDefault="00C375FC" w:rsidP="007E032C">
            <w:pPr>
              <w:pStyle w:val="Text"/>
              <w:spacing w:line="276" w:lineRule="auto"/>
              <w:jc w:val="left"/>
              <w:rPr>
                <w:rFonts w:ascii="Arial" w:hAnsi="Arial" w:cs="Arial"/>
                <w:sz w:val="22"/>
                <w:szCs w:val="22"/>
                <w:lang w:val="de-CH"/>
              </w:rPr>
            </w:pPr>
            <w:r w:rsidRPr="007774BC">
              <w:rPr>
                <w:rFonts w:ascii="Arial" w:hAnsi="Arial" w:cs="Arial"/>
                <w:sz w:val="22"/>
                <w:szCs w:val="22"/>
                <w:lang w:val="de-CH"/>
              </w:rPr>
              <w:t>12.06.1960</w:t>
            </w:r>
          </w:p>
        </w:tc>
      </w:tr>
      <w:tr w:rsidR="00C375FC" w:rsidRPr="007774BC" w14:paraId="1C47658B" w14:textId="77777777" w:rsidTr="007E032C">
        <w:trPr>
          <w:trHeight w:val="288"/>
        </w:trPr>
        <w:tc>
          <w:tcPr>
            <w:tcW w:w="3686" w:type="dxa"/>
            <w:shd w:val="clear" w:color="auto" w:fill="auto"/>
            <w:noWrap/>
            <w:hideMark/>
          </w:tcPr>
          <w:p w14:paraId="6E579950"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Vers. Nr.</w:t>
            </w:r>
          </w:p>
        </w:tc>
        <w:tc>
          <w:tcPr>
            <w:tcW w:w="4819" w:type="dxa"/>
            <w:shd w:val="clear" w:color="auto" w:fill="auto"/>
            <w:noWrap/>
            <w:hideMark/>
          </w:tcPr>
          <w:p w14:paraId="31A183BB" w14:textId="77777777" w:rsidR="00C375FC" w:rsidRPr="007774BC" w:rsidRDefault="00C375FC" w:rsidP="007E032C">
            <w:pPr>
              <w:pStyle w:val="Text"/>
              <w:spacing w:line="276" w:lineRule="auto"/>
              <w:jc w:val="left"/>
              <w:rPr>
                <w:rFonts w:ascii="Arial" w:hAnsi="Arial" w:cs="Arial"/>
                <w:bCs/>
                <w:sz w:val="22"/>
                <w:szCs w:val="22"/>
                <w:lang w:val="de-CH" w:eastAsia="de-DE"/>
              </w:rPr>
            </w:pPr>
            <w:r w:rsidRPr="007774BC">
              <w:rPr>
                <w:rFonts w:ascii="Arial" w:hAnsi="Arial" w:cs="Arial"/>
                <w:sz w:val="22"/>
                <w:szCs w:val="22"/>
                <w:lang w:val="de-CH"/>
              </w:rPr>
              <w:t>Versichertennummer:</w:t>
            </w:r>
          </w:p>
        </w:tc>
      </w:tr>
      <w:tr w:rsidR="00C375FC" w:rsidRPr="007774BC" w14:paraId="6EFF2EE7" w14:textId="77777777" w:rsidTr="007E032C">
        <w:trPr>
          <w:trHeight w:val="288"/>
        </w:trPr>
        <w:tc>
          <w:tcPr>
            <w:tcW w:w="3686" w:type="dxa"/>
            <w:shd w:val="clear" w:color="auto" w:fill="auto"/>
            <w:noWrap/>
          </w:tcPr>
          <w:p w14:paraId="7A0F3958"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Adresse</w:t>
            </w:r>
          </w:p>
        </w:tc>
        <w:tc>
          <w:tcPr>
            <w:tcW w:w="4819" w:type="dxa"/>
            <w:shd w:val="clear" w:color="auto" w:fill="auto"/>
            <w:noWrap/>
          </w:tcPr>
          <w:p w14:paraId="3517D97C" w14:textId="77777777" w:rsidR="00C375FC" w:rsidRPr="007774BC" w:rsidRDefault="00C375FC" w:rsidP="007E032C">
            <w:pPr>
              <w:pStyle w:val="Text"/>
              <w:spacing w:line="276" w:lineRule="auto"/>
              <w:jc w:val="left"/>
              <w:rPr>
                <w:rFonts w:ascii="Arial" w:hAnsi="Arial" w:cs="Arial"/>
                <w:sz w:val="22"/>
                <w:szCs w:val="22"/>
                <w:lang w:val="de-CH"/>
              </w:rPr>
            </w:pPr>
            <w:r w:rsidRPr="007774BC">
              <w:rPr>
                <w:rFonts w:ascii="Arial" w:hAnsi="Arial" w:cs="Arial"/>
                <w:sz w:val="22"/>
                <w:szCs w:val="22"/>
                <w:lang w:val="de-CH"/>
              </w:rPr>
              <w:t xml:space="preserve">Heckenweg 41, </w:t>
            </w:r>
            <w:r>
              <w:rPr>
                <w:rFonts w:ascii="Arial" w:hAnsi="Arial" w:cs="Arial"/>
                <w:sz w:val="22"/>
                <w:szCs w:val="22"/>
                <w:lang w:val="de-CH"/>
              </w:rPr>
              <w:t>PLZ, Ort</w:t>
            </w:r>
          </w:p>
        </w:tc>
      </w:tr>
      <w:tr w:rsidR="00C375FC" w:rsidRPr="00511DAD" w14:paraId="6AD9EE00" w14:textId="77777777" w:rsidTr="007E032C">
        <w:trPr>
          <w:trHeight w:val="288"/>
        </w:trPr>
        <w:tc>
          <w:tcPr>
            <w:tcW w:w="3686" w:type="dxa"/>
            <w:shd w:val="clear" w:color="auto" w:fill="auto"/>
            <w:noWrap/>
            <w:hideMark/>
          </w:tcPr>
          <w:p w14:paraId="4EB75159"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Diagnose / Indikation</w:t>
            </w:r>
          </w:p>
        </w:tc>
        <w:tc>
          <w:tcPr>
            <w:tcW w:w="4819" w:type="dxa"/>
            <w:shd w:val="clear" w:color="auto" w:fill="auto"/>
            <w:noWrap/>
            <w:hideMark/>
          </w:tcPr>
          <w:p w14:paraId="69B89FDE" w14:textId="77777777" w:rsidR="00C375FC" w:rsidRPr="007774BC" w:rsidRDefault="00C375FC" w:rsidP="007E032C">
            <w:pPr>
              <w:pStyle w:val="Text"/>
              <w:spacing w:line="276" w:lineRule="auto"/>
              <w:jc w:val="left"/>
              <w:rPr>
                <w:rFonts w:ascii="Arial" w:hAnsi="Arial" w:cs="Arial"/>
                <w:sz w:val="22"/>
                <w:szCs w:val="22"/>
                <w:lang w:val="de-CH"/>
              </w:rPr>
            </w:pPr>
            <w:r w:rsidRPr="007774BC">
              <w:rPr>
                <w:rFonts w:ascii="Arial" w:hAnsi="Arial" w:cs="Arial"/>
                <w:sz w:val="22"/>
                <w:szCs w:val="22"/>
                <w:lang w:val="de-CH"/>
              </w:rPr>
              <w:t>Detrusorüberaktivität aufgrund einer Spina Bifida z.B. Meningomyelozele</w:t>
            </w:r>
          </w:p>
        </w:tc>
      </w:tr>
      <w:tr w:rsidR="00C375FC" w:rsidRPr="007774BC" w14:paraId="016A7CC7" w14:textId="77777777" w:rsidTr="007E032C">
        <w:trPr>
          <w:trHeight w:val="288"/>
        </w:trPr>
        <w:tc>
          <w:tcPr>
            <w:tcW w:w="3686" w:type="dxa"/>
            <w:shd w:val="clear" w:color="auto" w:fill="auto"/>
            <w:noWrap/>
            <w:hideMark/>
          </w:tcPr>
          <w:p w14:paraId="458C547C"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Bisherige Therapie</w:t>
            </w:r>
          </w:p>
        </w:tc>
        <w:tc>
          <w:tcPr>
            <w:tcW w:w="4819" w:type="dxa"/>
            <w:shd w:val="clear" w:color="auto" w:fill="auto"/>
            <w:noWrap/>
            <w:hideMark/>
          </w:tcPr>
          <w:p w14:paraId="3391F4D6" w14:textId="77777777" w:rsidR="00C375FC" w:rsidRPr="007774BC" w:rsidRDefault="00C375FC" w:rsidP="007E032C">
            <w:pPr>
              <w:pStyle w:val="Text"/>
              <w:spacing w:line="276" w:lineRule="auto"/>
              <w:jc w:val="left"/>
              <w:rPr>
                <w:rFonts w:ascii="Arial" w:hAnsi="Arial" w:cs="Arial"/>
                <w:sz w:val="22"/>
                <w:szCs w:val="22"/>
                <w:lang w:val="de-CH"/>
              </w:rPr>
            </w:pPr>
          </w:p>
        </w:tc>
      </w:tr>
      <w:tr w:rsidR="00C375FC" w:rsidRPr="00511DAD" w14:paraId="356ADA28" w14:textId="77777777" w:rsidTr="007E032C">
        <w:trPr>
          <w:trHeight w:val="288"/>
        </w:trPr>
        <w:tc>
          <w:tcPr>
            <w:tcW w:w="3686" w:type="dxa"/>
            <w:shd w:val="clear" w:color="auto" w:fill="auto"/>
            <w:noWrap/>
          </w:tcPr>
          <w:p w14:paraId="6D419942"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Relevante Gesundheitsparameter</w:t>
            </w:r>
          </w:p>
        </w:tc>
        <w:tc>
          <w:tcPr>
            <w:tcW w:w="4819" w:type="dxa"/>
            <w:shd w:val="clear" w:color="auto" w:fill="auto"/>
            <w:noWrap/>
          </w:tcPr>
          <w:p w14:paraId="08A1774F" w14:textId="77777777" w:rsidR="00C375FC" w:rsidRPr="007774BC" w:rsidRDefault="00C375FC" w:rsidP="007E032C">
            <w:pPr>
              <w:pStyle w:val="Text"/>
              <w:spacing w:line="276" w:lineRule="auto"/>
              <w:jc w:val="left"/>
              <w:rPr>
                <w:rFonts w:ascii="Arial" w:hAnsi="Arial" w:cs="Arial"/>
                <w:sz w:val="22"/>
                <w:szCs w:val="22"/>
                <w:lang w:val="de-CH"/>
              </w:rPr>
            </w:pPr>
            <w:r w:rsidRPr="007774BC">
              <w:rPr>
                <w:rFonts w:ascii="Arial" w:hAnsi="Arial" w:cs="Arial"/>
                <w:sz w:val="22"/>
                <w:szCs w:val="22"/>
                <w:lang w:val="de-CH"/>
              </w:rPr>
              <w:t>z.B. Urodynamik, Urinstatus, Blasendruck, Urinkultur</w:t>
            </w:r>
          </w:p>
        </w:tc>
      </w:tr>
      <w:tr w:rsidR="00C375FC" w:rsidRPr="007774BC" w14:paraId="06DCF642" w14:textId="77777777" w:rsidTr="007E032C">
        <w:trPr>
          <w:trHeight w:val="288"/>
        </w:trPr>
        <w:tc>
          <w:tcPr>
            <w:tcW w:w="3686" w:type="dxa"/>
            <w:shd w:val="clear" w:color="auto" w:fill="auto"/>
            <w:noWrap/>
          </w:tcPr>
          <w:p w14:paraId="5F3FFCCF"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Relevante Nebenerkrankungen</w:t>
            </w:r>
          </w:p>
        </w:tc>
        <w:tc>
          <w:tcPr>
            <w:tcW w:w="4819" w:type="dxa"/>
            <w:shd w:val="clear" w:color="auto" w:fill="auto"/>
            <w:noWrap/>
          </w:tcPr>
          <w:p w14:paraId="34D26798" w14:textId="77777777" w:rsidR="00C375FC" w:rsidRPr="007774BC" w:rsidRDefault="00C375FC" w:rsidP="007E032C">
            <w:pPr>
              <w:pStyle w:val="Text"/>
              <w:spacing w:line="276" w:lineRule="auto"/>
              <w:jc w:val="left"/>
              <w:rPr>
                <w:rFonts w:ascii="Arial" w:hAnsi="Arial" w:cs="Arial"/>
                <w:sz w:val="22"/>
                <w:szCs w:val="22"/>
                <w:lang w:val="de-CH"/>
              </w:rPr>
            </w:pPr>
            <w:r w:rsidRPr="007774BC">
              <w:rPr>
                <w:rFonts w:ascii="Arial" w:hAnsi="Arial" w:cs="Arial"/>
                <w:sz w:val="22"/>
                <w:szCs w:val="22"/>
                <w:lang w:val="de-CH"/>
              </w:rPr>
              <w:t xml:space="preserve">z.B. Leberinsuffizienz etc. </w:t>
            </w:r>
          </w:p>
        </w:tc>
      </w:tr>
      <w:tr w:rsidR="00C375FC" w:rsidRPr="007774BC" w14:paraId="0E8804E4" w14:textId="77777777" w:rsidTr="007E032C">
        <w:trPr>
          <w:trHeight w:val="288"/>
        </w:trPr>
        <w:tc>
          <w:tcPr>
            <w:tcW w:w="3686" w:type="dxa"/>
            <w:shd w:val="clear" w:color="auto" w:fill="auto"/>
            <w:noWrap/>
          </w:tcPr>
          <w:p w14:paraId="65DFF2C1"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Andere medikamentöse Therapien</w:t>
            </w:r>
          </w:p>
        </w:tc>
        <w:tc>
          <w:tcPr>
            <w:tcW w:w="4819" w:type="dxa"/>
            <w:shd w:val="clear" w:color="auto" w:fill="auto"/>
            <w:noWrap/>
          </w:tcPr>
          <w:p w14:paraId="5B70B978" w14:textId="77777777" w:rsidR="00C375FC" w:rsidRPr="007774BC" w:rsidRDefault="00C375FC" w:rsidP="007E032C">
            <w:pPr>
              <w:pStyle w:val="Text"/>
              <w:spacing w:line="276" w:lineRule="auto"/>
              <w:jc w:val="left"/>
              <w:rPr>
                <w:rFonts w:ascii="Arial" w:hAnsi="Arial" w:cs="Arial"/>
                <w:sz w:val="22"/>
                <w:szCs w:val="22"/>
                <w:lang w:val="de-CH"/>
              </w:rPr>
            </w:pPr>
            <w:r w:rsidRPr="007774BC">
              <w:rPr>
                <w:rFonts w:ascii="Arial" w:hAnsi="Arial" w:cs="Arial"/>
                <w:sz w:val="22"/>
                <w:szCs w:val="22"/>
                <w:lang w:val="de-CH"/>
              </w:rPr>
              <w:t xml:space="preserve">z.B. Antibiotikatherapie </w:t>
            </w:r>
          </w:p>
        </w:tc>
      </w:tr>
      <w:tr w:rsidR="00C375FC" w:rsidRPr="00511DAD" w14:paraId="4069F8C4" w14:textId="77777777" w:rsidTr="007E032C">
        <w:trPr>
          <w:trHeight w:val="288"/>
        </w:trPr>
        <w:tc>
          <w:tcPr>
            <w:tcW w:w="3686" w:type="dxa"/>
            <w:shd w:val="clear" w:color="auto" w:fill="auto"/>
            <w:noWrap/>
            <w:hideMark/>
          </w:tcPr>
          <w:p w14:paraId="13305F92" w14:textId="77777777" w:rsidR="00C375FC" w:rsidRPr="007774BC" w:rsidRDefault="00C375FC" w:rsidP="007E032C">
            <w:pPr>
              <w:pStyle w:val="Text"/>
              <w:spacing w:line="276" w:lineRule="auto"/>
              <w:jc w:val="left"/>
              <w:rPr>
                <w:rFonts w:ascii="Arial" w:hAnsi="Arial" w:cs="Arial"/>
                <w:b/>
                <w:sz w:val="22"/>
                <w:szCs w:val="22"/>
                <w:lang w:val="de-CH"/>
              </w:rPr>
            </w:pPr>
            <w:r w:rsidRPr="007774BC">
              <w:rPr>
                <w:rFonts w:ascii="Arial" w:hAnsi="Arial" w:cs="Arial"/>
                <w:b/>
                <w:sz w:val="22"/>
                <w:szCs w:val="22"/>
                <w:lang w:val="de-CH"/>
              </w:rPr>
              <w:t>Begründung für Therapie mit Vesoxx</w:t>
            </w:r>
            <w:r w:rsidRPr="007774BC">
              <w:rPr>
                <w:rFonts w:ascii="Arial" w:hAnsi="Arial" w:cs="Arial"/>
                <w:b/>
                <w:sz w:val="22"/>
                <w:szCs w:val="22"/>
                <w:vertAlign w:val="superscript"/>
                <w:lang w:val="de-CH"/>
              </w:rPr>
              <w:t>®</w:t>
            </w:r>
          </w:p>
        </w:tc>
        <w:tc>
          <w:tcPr>
            <w:tcW w:w="4819" w:type="dxa"/>
            <w:shd w:val="clear" w:color="auto" w:fill="auto"/>
            <w:noWrap/>
            <w:hideMark/>
          </w:tcPr>
          <w:p w14:paraId="41CF151E" w14:textId="77777777" w:rsidR="00C375FC" w:rsidRPr="008E55F6" w:rsidRDefault="00C375FC" w:rsidP="007E032C">
            <w:pPr>
              <w:rPr>
                <w:rFonts w:ascii="Arial" w:hAnsi="Arial" w:cs="Arial"/>
                <w:lang w:val="de-CH"/>
              </w:rPr>
            </w:pPr>
            <w:r w:rsidRPr="007774BC">
              <w:rPr>
                <w:rFonts w:ascii="Arial" w:hAnsi="Arial" w:cs="Arial"/>
                <w:lang w:val="de-CH"/>
              </w:rPr>
              <w:t>Es ist keine alternative wirksame und zugelassene Therapie verfügbar</w:t>
            </w:r>
          </w:p>
        </w:tc>
      </w:tr>
    </w:tbl>
    <w:p w14:paraId="3C793B04" w14:textId="77777777" w:rsidR="00C375FC" w:rsidRPr="00E460C1" w:rsidRDefault="00C375FC" w:rsidP="00C375FC">
      <w:pPr>
        <w:pStyle w:val="Text"/>
        <w:spacing w:line="276" w:lineRule="auto"/>
        <w:rPr>
          <w:rFonts w:ascii="Arial" w:hAnsi="Arial" w:cs="Arial"/>
          <w:b/>
          <w:sz w:val="22"/>
          <w:szCs w:val="22"/>
          <w:lang w:val="de-CH"/>
        </w:rPr>
      </w:pPr>
    </w:p>
    <w:p w14:paraId="11D9CAB1" w14:textId="77777777" w:rsidR="00C375FC" w:rsidRPr="00E460C1" w:rsidRDefault="00C375FC" w:rsidP="00C375FC">
      <w:pPr>
        <w:pStyle w:val="Text"/>
        <w:spacing w:line="276" w:lineRule="auto"/>
        <w:rPr>
          <w:rFonts w:ascii="Arial" w:hAnsi="Arial" w:cs="Arial"/>
          <w:b/>
          <w:sz w:val="22"/>
          <w:szCs w:val="22"/>
          <w:lang w:val="de-CH"/>
        </w:rPr>
      </w:pPr>
      <w:r>
        <w:rPr>
          <w:rFonts w:ascii="Arial" w:hAnsi="Arial" w:cs="Arial"/>
          <w:b/>
          <w:sz w:val="22"/>
          <w:szCs w:val="22"/>
          <w:lang w:val="de-CH"/>
        </w:rPr>
        <w:t xml:space="preserve">Geplantes </w:t>
      </w:r>
      <w:r w:rsidRPr="00E460C1">
        <w:rPr>
          <w:rFonts w:ascii="Arial" w:hAnsi="Arial" w:cs="Arial"/>
          <w:b/>
          <w:sz w:val="22"/>
          <w:szCs w:val="22"/>
          <w:lang w:val="de-CH"/>
        </w:rPr>
        <w:t xml:space="preserve">Therapieschema mit </w:t>
      </w:r>
      <w:r>
        <w:rPr>
          <w:rFonts w:ascii="Arial" w:hAnsi="Arial" w:cs="Arial"/>
          <w:b/>
          <w:sz w:val="22"/>
          <w:szCs w:val="22"/>
          <w:lang w:val="de-CH"/>
        </w:rPr>
        <w:t>Vesoxx</w:t>
      </w:r>
    </w:p>
    <w:p w14:paraId="6B41B1A7" w14:textId="77777777" w:rsidR="00C375FC" w:rsidRDefault="00C375FC" w:rsidP="00C375FC">
      <w:pPr>
        <w:pStyle w:val="Text"/>
        <w:spacing w:line="276" w:lineRule="auto"/>
        <w:rPr>
          <w:rFonts w:ascii="Arial" w:hAnsi="Arial" w:cs="Arial"/>
          <w:noProof/>
          <w:sz w:val="22"/>
          <w:szCs w:val="22"/>
          <w:lang w:val="de-CH" w:eastAsia="de-CH"/>
        </w:rPr>
      </w:pPr>
      <w:r w:rsidRPr="000671D8">
        <w:rPr>
          <w:rFonts w:ascii="Arial" w:hAnsi="Arial" w:cs="Arial"/>
          <w:noProof/>
          <w:sz w:val="22"/>
          <w:szCs w:val="22"/>
          <w:lang w:val="de-CH" w:eastAsia="de-CH"/>
        </w:rPr>
        <w:t>Vesoxx</w:t>
      </w:r>
      <w:r w:rsidRPr="000671D8">
        <w:rPr>
          <w:rFonts w:ascii="Arial" w:hAnsi="Arial" w:cs="Arial"/>
          <w:noProof/>
          <w:sz w:val="22"/>
          <w:szCs w:val="22"/>
          <w:vertAlign w:val="superscript"/>
          <w:lang w:val="de-CH" w:eastAsia="de-CH"/>
        </w:rPr>
        <w:t>®</w:t>
      </w:r>
      <w:r w:rsidRPr="000671D8">
        <w:rPr>
          <w:rFonts w:ascii="Arial" w:hAnsi="Arial" w:cs="Arial"/>
          <w:noProof/>
          <w:sz w:val="22"/>
          <w:szCs w:val="22"/>
          <w:lang w:val="de-CH" w:eastAsia="de-CH"/>
        </w:rPr>
        <w:t xml:space="preserve"> bis zu </w:t>
      </w:r>
      <w:r w:rsidRPr="007E032C">
        <w:rPr>
          <w:rFonts w:ascii="Arial" w:hAnsi="Arial" w:cs="Arial"/>
          <w:noProof/>
          <w:sz w:val="22"/>
          <w:szCs w:val="22"/>
          <w:highlight w:val="yellow"/>
          <w:lang w:val="de-CH" w:eastAsia="de-CH"/>
        </w:rPr>
        <w:t>4</w:t>
      </w:r>
      <w:r w:rsidRPr="000671D8">
        <w:rPr>
          <w:rFonts w:ascii="Arial" w:hAnsi="Arial" w:cs="Arial"/>
          <w:noProof/>
          <w:sz w:val="22"/>
          <w:szCs w:val="22"/>
          <w:lang w:val="de-CH" w:eastAsia="de-CH"/>
        </w:rPr>
        <w:t xml:space="preserve"> x täglich (10 ml Spritze)</w:t>
      </w:r>
    </w:p>
    <w:p w14:paraId="52494D33" w14:textId="77777777" w:rsidR="00C375FC" w:rsidRDefault="00C375FC" w:rsidP="00C375FC">
      <w:pPr>
        <w:pStyle w:val="Text"/>
        <w:spacing w:line="276" w:lineRule="auto"/>
        <w:rPr>
          <w:rFonts w:ascii="Arial" w:hAnsi="Arial" w:cs="Arial"/>
          <w:noProof/>
          <w:sz w:val="22"/>
          <w:szCs w:val="22"/>
          <w:lang w:val="de-CH" w:eastAsia="de-CH"/>
        </w:rPr>
      </w:pPr>
    </w:p>
    <w:p w14:paraId="61238F57" w14:textId="77777777" w:rsidR="00C375FC" w:rsidRDefault="00C375FC" w:rsidP="00C375FC">
      <w:pPr>
        <w:pStyle w:val="Text"/>
        <w:spacing w:line="276" w:lineRule="auto"/>
        <w:rPr>
          <w:rFonts w:ascii="Arial" w:hAnsi="Arial" w:cs="Arial"/>
          <w:noProof/>
          <w:sz w:val="22"/>
          <w:szCs w:val="22"/>
          <w:lang w:val="de-CH" w:eastAsia="de-CH"/>
        </w:rPr>
      </w:pPr>
    </w:p>
    <w:p w14:paraId="2C3EF970" w14:textId="120525D3" w:rsidR="00C375FC" w:rsidRDefault="00C375FC" w:rsidP="00C375FC">
      <w:pPr>
        <w:pStyle w:val="Text"/>
        <w:spacing w:line="276" w:lineRule="auto"/>
        <w:rPr>
          <w:rFonts w:ascii="Arial" w:hAnsi="Arial" w:cs="Arial"/>
          <w:noProof/>
          <w:sz w:val="22"/>
          <w:szCs w:val="22"/>
          <w:lang w:val="de-CH" w:eastAsia="de-CH"/>
        </w:rPr>
      </w:pPr>
    </w:p>
    <w:p w14:paraId="6A88D350" w14:textId="1E1F95BB" w:rsidR="00C375FC" w:rsidRDefault="00C375FC" w:rsidP="00C375FC">
      <w:pPr>
        <w:pStyle w:val="Text"/>
        <w:spacing w:line="276" w:lineRule="auto"/>
        <w:rPr>
          <w:rFonts w:ascii="Arial" w:hAnsi="Arial" w:cs="Arial"/>
          <w:noProof/>
          <w:sz w:val="22"/>
          <w:szCs w:val="22"/>
          <w:lang w:val="de-CH" w:eastAsia="de-CH"/>
        </w:rPr>
      </w:pPr>
    </w:p>
    <w:p w14:paraId="3CBFEF77" w14:textId="77777777" w:rsidR="00C375FC" w:rsidRDefault="00C375FC" w:rsidP="00C375FC">
      <w:pPr>
        <w:pStyle w:val="Text"/>
        <w:spacing w:line="276" w:lineRule="auto"/>
        <w:rPr>
          <w:rFonts w:ascii="Arial" w:hAnsi="Arial" w:cs="Arial"/>
          <w:noProof/>
          <w:sz w:val="22"/>
          <w:szCs w:val="22"/>
          <w:lang w:val="de-CH" w:eastAsia="de-CH"/>
        </w:rPr>
      </w:pPr>
    </w:p>
    <w:p w14:paraId="06F408B2" w14:textId="77777777" w:rsidR="00C375FC" w:rsidRPr="000671D8" w:rsidRDefault="00C375FC" w:rsidP="00C375FC">
      <w:pPr>
        <w:pStyle w:val="Text"/>
        <w:spacing w:line="276" w:lineRule="auto"/>
        <w:rPr>
          <w:rFonts w:ascii="Arial" w:hAnsi="Arial" w:cs="Arial"/>
          <w:b/>
          <w:sz w:val="22"/>
          <w:szCs w:val="22"/>
          <w:lang w:val="de-CH"/>
        </w:rPr>
      </w:pPr>
    </w:p>
    <w:p w14:paraId="5AFE4152" w14:textId="3957C998" w:rsidR="00C375FC" w:rsidRDefault="00C375FC" w:rsidP="00C375FC">
      <w:pPr>
        <w:pStyle w:val="Text"/>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lastRenderedPageBreak/>
        <w:t>Sehr geehrte Frau Kollegin, sehr geehrter Herr Kollege</w:t>
      </w:r>
    </w:p>
    <w:p w14:paraId="77DD90A0" w14:textId="77777777" w:rsidR="00C375FC" w:rsidRPr="00395C9B" w:rsidRDefault="00C375FC" w:rsidP="00C375FC">
      <w:pPr>
        <w:pStyle w:val="Text"/>
        <w:spacing w:line="276" w:lineRule="auto"/>
        <w:rPr>
          <w:rFonts w:ascii="Arial" w:eastAsia="Times New Roman" w:hAnsi="Arial" w:cs="Arial"/>
          <w:sz w:val="22"/>
          <w:szCs w:val="22"/>
          <w:lang w:val="de-CH" w:eastAsia="en-US"/>
        </w:rPr>
      </w:pPr>
    </w:p>
    <w:p w14:paraId="671CCA84" w14:textId="77777777" w:rsidR="00C375FC" w:rsidRPr="007E032C" w:rsidRDefault="00C375FC" w:rsidP="00C375FC">
      <w:pPr>
        <w:pStyle w:val="Text"/>
        <w:spacing w:line="276" w:lineRule="auto"/>
        <w:rPr>
          <w:rFonts w:ascii="Arial" w:hAnsi="Arial" w:cs="Arial"/>
          <w:sz w:val="22"/>
          <w:szCs w:val="22"/>
          <w:lang w:val="de-DE"/>
        </w:rPr>
      </w:pPr>
      <w:r w:rsidRPr="00395C9B">
        <w:rPr>
          <w:rFonts w:ascii="Arial" w:eastAsia="Times New Roman" w:hAnsi="Arial" w:cs="Arial"/>
          <w:sz w:val="22"/>
          <w:szCs w:val="22"/>
          <w:lang w:val="de-CH" w:eastAsia="en-US"/>
        </w:rPr>
        <w:t xml:space="preserve">Der oben erwähnte, bei Ihnen versicherte Patient, leidet an einer Detrusorüberaktivität aufgrund einer Meningomyelozele (Spina bifida). </w:t>
      </w:r>
    </w:p>
    <w:p w14:paraId="56922117" w14:textId="77777777" w:rsidR="00C375FC" w:rsidRPr="007E032C" w:rsidRDefault="00C375FC" w:rsidP="00C375FC">
      <w:pPr>
        <w:pStyle w:val="Text"/>
        <w:spacing w:line="276" w:lineRule="auto"/>
        <w:rPr>
          <w:sz w:val="22"/>
          <w:szCs w:val="22"/>
          <w:lang w:val="de-CH"/>
        </w:rPr>
      </w:pPr>
      <w:r w:rsidRPr="00395C9B">
        <w:rPr>
          <w:rFonts w:ascii="Arial" w:eastAsia="Times New Roman" w:hAnsi="Arial" w:cs="Arial"/>
          <w:sz w:val="22"/>
          <w:szCs w:val="22"/>
          <w:lang w:val="de-CH" w:eastAsia="en-US"/>
        </w:rPr>
        <w:t xml:space="preserve">Nahezu 90% der Patienten mit Meningomyelozele zeigen Symptome einer Störung der Speicher- oder Entleerungsfunktion der Harnblase, die als neurogene Blasenstörung bezeichnet werden, da die blasenversorgenden Nerven und Leitungsbahnen durch die Meningomyelozele unterbrochen oder beeinträchtigt sind. Dabei werden mehrere Typen unterschieden, je nachdem, wie die beiden Muskeln der Blase, nämlich der Ausdrückermuskel (Detrusor) und der Schließmuskel (Sphinkter), betroffen sind. </w:t>
      </w:r>
    </w:p>
    <w:p w14:paraId="3F0C41DA" w14:textId="77777777" w:rsidR="00C375FC" w:rsidRPr="00395C9B" w:rsidRDefault="00C375FC" w:rsidP="00C375FC">
      <w:pPr>
        <w:pStyle w:val="Text"/>
        <w:spacing w:line="276" w:lineRule="auto"/>
        <w:rPr>
          <w:rFonts w:ascii="Arial" w:hAnsi="Arial" w:cs="Arial"/>
          <w:sz w:val="22"/>
          <w:szCs w:val="22"/>
          <w:lang w:val="de-CH"/>
        </w:rPr>
      </w:pPr>
      <w:r w:rsidRPr="00395C9B">
        <w:rPr>
          <w:rFonts w:ascii="Arial" w:eastAsia="Times New Roman" w:hAnsi="Arial" w:cs="Arial"/>
          <w:sz w:val="22"/>
          <w:szCs w:val="22"/>
          <w:lang w:val="de-CH" w:eastAsia="en-US"/>
        </w:rPr>
        <w:t>In der Behandlung von Spina-bifida-Patienten mit spastischen Lähmungserscheinungen hat sich zur Behandlung bzw. Prophylaxe der Blasenhyperreflexie (neurogene Detrusorhyperaktivität) mit Ausbildung einer Reflexinkontinenz in den letzten beiden Jahrzehnten eine Blasenentleerung durch intermittierende aseptische Katheterisierung (ISK) bei gleichzeitiger Detrusorrelaxation mittels anticholinerger Medikamente etabliert. (1).</w:t>
      </w:r>
    </w:p>
    <w:p w14:paraId="54472182" w14:textId="77777777" w:rsidR="00C375FC" w:rsidRPr="00395C9B" w:rsidRDefault="00C375FC" w:rsidP="00C375FC">
      <w:pPr>
        <w:pStyle w:val="Text"/>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t>Das primäre Therapieziel besteht neben der Vermeidung wiederkehrender Infekte insbesondere darin, die Nierenfunktion zu erhalten, die ansonsten hochgradig gefährdet wäre. Das geschilderte Risiko resultiert dabei aus der Hochdrucksituation in der Blase einerseits und der Harnretention andererseits. Diese Faktoren resultieren in einer Harntransportstörung im oberen Harntrakt, welche unbehandelt zwangsläufig zu schwersten Nierenschäden bis hin zum Nierenversagen führt.</w:t>
      </w:r>
    </w:p>
    <w:p w14:paraId="47DD65D9" w14:textId="77777777" w:rsidR="00C375FC" w:rsidRPr="00395C9B" w:rsidRDefault="00C375FC" w:rsidP="00C375FC">
      <w:pPr>
        <w:pStyle w:val="Text"/>
        <w:spacing w:line="276" w:lineRule="auto"/>
        <w:rPr>
          <w:rFonts w:ascii="Arial" w:eastAsia="Times New Roman" w:hAnsi="Arial" w:cs="Arial"/>
          <w:sz w:val="22"/>
          <w:szCs w:val="22"/>
          <w:lang w:val="de-CH" w:eastAsia="en-US"/>
        </w:rPr>
      </w:pPr>
      <w:r w:rsidRPr="00395C9B">
        <w:rPr>
          <w:rFonts w:ascii="Arial" w:hAnsi="Arial" w:cs="Arial"/>
          <w:sz w:val="22"/>
          <w:szCs w:val="22"/>
          <w:lang w:val="de-CH"/>
        </w:rPr>
        <w:t>Dieser Situation wird durch den First-Line-Einsatz der Antimuscarinika (oral), z.B. Oxybutynin, Trospiumchlorid, Propiverin und andere, kombiniert mit intermittierendem Katheterismus (CIC Clean Intermittend Catheterism) vorgebeugt.</w:t>
      </w:r>
    </w:p>
    <w:p w14:paraId="139905B5" w14:textId="77777777" w:rsidR="00C375FC" w:rsidRPr="00395C9B" w:rsidRDefault="00C375FC" w:rsidP="00C375FC">
      <w:pPr>
        <w:pStyle w:val="Text"/>
        <w:widowControl w:val="0"/>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t>Bei 20 - 30% der Betroffenen, einer sehr kleinen Population</w:t>
      </w:r>
      <w:r w:rsidRPr="00395C9B" w:rsidDel="005A1045">
        <w:rPr>
          <w:rFonts w:ascii="Arial" w:eastAsia="Times New Roman" w:hAnsi="Arial" w:cs="Arial"/>
          <w:sz w:val="22"/>
          <w:szCs w:val="22"/>
          <w:lang w:val="de-CH" w:eastAsia="en-US"/>
        </w:rPr>
        <w:t xml:space="preserve"> </w:t>
      </w:r>
      <w:r w:rsidRPr="00395C9B">
        <w:rPr>
          <w:rFonts w:ascii="Arial" w:eastAsia="Times New Roman" w:hAnsi="Arial" w:cs="Arial"/>
          <w:sz w:val="22"/>
          <w:szCs w:val="22"/>
          <w:lang w:val="de-CH" w:eastAsia="en-US"/>
        </w:rPr>
        <w:t>lässt sich indes durch eine orale Gabe keine ausreichende Relaxation des überaktiven Detrusors erzielen, wodurch alternative Behandlungsmethoden erforderlich werden. Dazu gehört in erster Linie die intravesikale Applikation von Oxybutynin.</w:t>
      </w:r>
    </w:p>
    <w:p w14:paraId="707CBC5B" w14:textId="77777777" w:rsidR="00C375FC" w:rsidRPr="00395C9B" w:rsidRDefault="00C375FC" w:rsidP="00C375FC">
      <w:pPr>
        <w:pStyle w:val="Text"/>
        <w:widowControl w:val="0"/>
        <w:spacing w:line="276" w:lineRule="auto"/>
        <w:rPr>
          <w:rFonts w:ascii="Arial" w:eastAsia="Times New Roman" w:hAnsi="Arial" w:cs="Arial"/>
          <w:sz w:val="22"/>
          <w:szCs w:val="22"/>
          <w:lang w:val="de-CH" w:eastAsia="en-US"/>
        </w:rPr>
      </w:pPr>
    </w:p>
    <w:p w14:paraId="7C52D376" w14:textId="77777777" w:rsidR="00C375FC" w:rsidRPr="00395C9B" w:rsidRDefault="00C375FC" w:rsidP="00C375FC">
      <w:pPr>
        <w:pStyle w:val="Default"/>
        <w:jc w:val="both"/>
        <w:rPr>
          <w:rFonts w:ascii="Arial" w:hAnsi="Arial" w:cs="Arial"/>
          <w:color w:val="auto"/>
          <w:sz w:val="22"/>
          <w:szCs w:val="22"/>
          <w:lang w:val="de-CH" w:eastAsia="en-US"/>
        </w:rPr>
      </w:pPr>
      <w:r w:rsidRPr="00395C9B">
        <w:rPr>
          <w:rFonts w:ascii="Arial" w:hAnsi="Arial" w:cs="Arial"/>
          <w:color w:val="auto"/>
          <w:sz w:val="22"/>
          <w:szCs w:val="22"/>
          <w:lang w:val="de-CH" w:eastAsia="en-US"/>
        </w:rPr>
        <w:t xml:space="preserve">Selbst die teilweise Relaxation des überaktiven Detrusors erfordert in diesen Konstellationen eine derart hohe orale Medikamentendosis, die zu unerträglichen Nebenwirkungen führt, welche die Einnahme-Compliance stark negativ beeinflussen und die Nebenwirkungsrisiken einer solchen Therapie außerordentlich erhöhen. Auch der alleinige Einsatz des intermittierenden Katheterismus ohne anticholinerge Medikation stellt hier keine Behandlungsalternative dar, weil die Hochdrucksituation unverändert fortbestünde. </w:t>
      </w:r>
    </w:p>
    <w:p w14:paraId="10873EFF" w14:textId="77777777" w:rsidR="00C375FC" w:rsidRPr="00395C9B" w:rsidRDefault="00C375FC" w:rsidP="00C375FC">
      <w:pPr>
        <w:pStyle w:val="Default"/>
        <w:jc w:val="both"/>
        <w:rPr>
          <w:rFonts w:ascii="Arial" w:hAnsi="Arial" w:cs="Arial"/>
          <w:color w:val="auto"/>
          <w:sz w:val="22"/>
          <w:szCs w:val="22"/>
          <w:lang w:val="de-CH" w:eastAsia="en-US"/>
        </w:rPr>
      </w:pPr>
      <w:r w:rsidRPr="00395C9B">
        <w:rPr>
          <w:rFonts w:ascii="Arial" w:hAnsi="Arial" w:cs="Arial"/>
          <w:color w:val="auto"/>
          <w:sz w:val="22"/>
          <w:szCs w:val="22"/>
          <w:lang w:val="de-CH" w:eastAsia="en-US"/>
        </w:rPr>
        <w:t xml:space="preserve">Für die geschilderten Patienten empfehlen die auf die Behandlung spezialisierten Fachärzte sowie die Experten der European Association </w:t>
      </w:r>
      <w:proofErr w:type="spellStart"/>
      <w:r w:rsidRPr="00395C9B">
        <w:rPr>
          <w:rFonts w:ascii="Arial" w:hAnsi="Arial" w:cs="Arial"/>
          <w:color w:val="auto"/>
          <w:sz w:val="22"/>
          <w:szCs w:val="22"/>
          <w:lang w:val="de-CH" w:eastAsia="en-US"/>
        </w:rPr>
        <w:t>of</w:t>
      </w:r>
      <w:proofErr w:type="spellEnd"/>
      <w:r w:rsidRPr="00395C9B">
        <w:rPr>
          <w:rFonts w:ascii="Arial" w:hAnsi="Arial" w:cs="Arial"/>
          <w:color w:val="auto"/>
          <w:sz w:val="22"/>
          <w:szCs w:val="22"/>
          <w:lang w:val="de-CH" w:eastAsia="en-US"/>
        </w:rPr>
        <w:t xml:space="preserve"> Urology (2) einhellig die nicht-orale Gabe von Antimuscarinika als wesentliche konservative Therapiestufe vor dem Einsatz minimal-invasiver bzw. operativer Verfahren. Diese Instillation von Oxybutynin führt wahrscheinlich über zwei Wege zum Therapieziele: einerseits durch Resorption aus der Harnblase in die Blutbahn und andererseits über eine direkte auf den Detrusor. </w:t>
      </w:r>
    </w:p>
    <w:p w14:paraId="2F886A1F" w14:textId="77777777" w:rsidR="00C375FC" w:rsidRPr="00395C9B" w:rsidRDefault="00C375FC" w:rsidP="00C375FC">
      <w:pPr>
        <w:pStyle w:val="Default"/>
        <w:jc w:val="both"/>
        <w:rPr>
          <w:b/>
          <w:bCs/>
          <w:color w:val="auto"/>
          <w:sz w:val="22"/>
          <w:szCs w:val="22"/>
        </w:rPr>
      </w:pPr>
    </w:p>
    <w:p w14:paraId="1F5BE48E" w14:textId="77777777" w:rsidR="00C375FC" w:rsidRPr="00395C9B" w:rsidRDefault="00C375FC" w:rsidP="00C375FC">
      <w:pPr>
        <w:pStyle w:val="Text"/>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t xml:space="preserve">Diese Instillation des Wirkstoffs unmittelbar in die Blase ermöglicht einen Einsatz des wirksamen Bestandteils direkt am Wirkort. Ein therapeutisch ausreichender Wirkstoffspiegel in der Blase kann so sichergestellt werden, was im Falle einer oralen Darreichungsform nicht möglich bzw. nicht medizinisch vertretbar wäre, da ungleich höher dosiert werden müsste. Die </w:t>
      </w:r>
      <w:r w:rsidRPr="00395C9B">
        <w:rPr>
          <w:rFonts w:ascii="Arial" w:eastAsia="Times New Roman" w:hAnsi="Arial" w:cs="Arial"/>
          <w:sz w:val="22"/>
          <w:szCs w:val="22"/>
          <w:lang w:val="de-CH" w:eastAsia="en-US"/>
        </w:rPr>
        <w:lastRenderedPageBreak/>
        <w:t>Therapieoption hat sich über Jahrzehnte in der therapeutischen Praxis als hochwirksam und besonders nebenwirkungsarm erwiesen.</w:t>
      </w:r>
    </w:p>
    <w:p w14:paraId="235BE564" w14:textId="77777777" w:rsidR="00C375FC" w:rsidRPr="00395C9B" w:rsidRDefault="00C375FC" w:rsidP="00C375FC">
      <w:pPr>
        <w:pStyle w:val="Text"/>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t>Zurzeit ist Vesoxx die einzige Therapie, die für eine Behandlung der Detrusorüberaktivität aufgrund Rückenmarksverletzung oder Meningomyelozele (Spina bifida) zugelassen ist. Therapeutische Alternativen gibt es keine.</w:t>
      </w:r>
    </w:p>
    <w:p w14:paraId="177C03F3" w14:textId="6A188F78" w:rsidR="00C375FC" w:rsidRPr="00395C9B" w:rsidRDefault="00C375FC" w:rsidP="00C375FC">
      <w:pPr>
        <w:pStyle w:val="Text"/>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t xml:space="preserve">Aus </w:t>
      </w:r>
      <w:r>
        <w:rPr>
          <w:rFonts w:ascii="Arial" w:eastAsia="Times New Roman" w:hAnsi="Arial" w:cs="Arial"/>
          <w:sz w:val="22"/>
          <w:szCs w:val="22"/>
          <w:lang w:val="de-CH" w:eastAsia="en-US"/>
        </w:rPr>
        <w:t>neuro-</w:t>
      </w:r>
      <w:r w:rsidRPr="00395C9B">
        <w:rPr>
          <w:rFonts w:ascii="Arial" w:eastAsia="Times New Roman" w:hAnsi="Arial" w:cs="Arial"/>
          <w:sz w:val="22"/>
          <w:szCs w:val="22"/>
          <w:lang w:val="de-CH" w:eastAsia="en-US"/>
        </w:rPr>
        <w:t>urologisch ärztlicher Sicht besitzt das Prinzip der Oxybutynin-Instillation in die Harnblase einen großen therapeutischen Wert.</w:t>
      </w:r>
    </w:p>
    <w:p w14:paraId="0BB033DC" w14:textId="77777777" w:rsidR="00C375FC" w:rsidRPr="00395C9B" w:rsidRDefault="00C375FC" w:rsidP="00C375FC">
      <w:pPr>
        <w:pStyle w:val="Text"/>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t>Da es zurzeit keine wirksame und zugelassene Therapie für die Behandlung dieser Erkrankung gibt, ersuche ich hiermit um die Kostenübernahme gemäss KVV Art. 71c für Vesoxx (Oxybutynin zur intravesikalen Anwendung).</w:t>
      </w:r>
    </w:p>
    <w:p w14:paraId="01C22357" w14:textId="77777777" w:rsidR="00C375FC" w:rsidRPr="00395C9B" w:rsidRDefault="00C375FC" w:rsidP="00C375FC">
      <w:pPr>
        <w:pStyle w:val="Text"/>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t xml:space="preserve">Vesoxx ist auf der Spezialitätenliste SL aufgelistet. Die Zweckmäßigkeit und Wirksamkeit wurde vom BAG begutachtet und bestätigt. </w:t>
      </w:r>
    </w:p>
    <w:p w14:paraId="0FD27EB9" w14:textId="77777777" w:rsidR="00C375FC" w:rsidRPr="00395C9B" w:rsidRDefault="00C375FC" w:rsidP="00C375FC">
      <w:pPr>
        <w:pStyle w:val="Textkrper"/>
        <w:widowControl w:val="0"/>
        <w:autoSpaceDE w:val="0"/>
        <w:autoSpaceDN w:val="0"/>
        <w:spacing w:before="148" w:line="283" w:lineRule="auto"/>
        <w:rPr>
          <w:rFonts w:cs="Arial"/>
          <w:b w:val="0"/>
          <w:bCs w:val="0"/>
          <w:sz w:val="22"/>
          <w:szCs w:val="22"/>
        </w:rPr>
      </w:pPr>
      <w:r w:rsidRPr="00395C9B">
        <w:rPr>
          <w:rFonts w:cs="Arial"/>
          <w:b w:val="0"/>
          <w:bCs w:val="0"/>
          <w:sz w:val="22"/>
          <w:szCs w:val="22"/>
        </w:rPr>
        <w:t xml:space="preserve">Aus neuro-urologischer Sicht ist bei </w:t>
      </w:r>
      <w:r w:rsidRPr="00395C9B">
        <w:rPr>
          <w:rFonts w:cs="Arial"/>
          <w:b w:val="0"/>
          <w:bCs w:val="0"/>
          <w:sz w:val="22"/>
          <w:szCs w:val="22"/>
          <w:highlight w:val="yellow"/>
        </w:rPr>
        <w:t>Peter Muster</w:t>
      </w:r>
      <w:r w:rsidRPr="00395C9B">
        <w:rPr>
          <w:rFonts w:cs="Arial"/>
          <w:b w:val="0"/>
          <w:bCs w:val="0"/>
          <w:sz w:val="22"/>
          <w:szCs w:val="22"/>
        </w:rPr>
        <w:t xml:space="preserve"> die überwiegende Mehrzahl der Einschlusskriterien (Indikation Spina Bifida Vorhandensein von Inkontinenz, wiederkehrende Harnwegsinfektionen, Beschwerden bei der Blasenentleerung, häufiger Drang, Schmerzen, hohe Entleerungsfrequenzen und Spina bifida der z.B.  von (3) , (4) durchgeführten Studien) erfüllt. Aufgrund der vorliegenden Daten halte ich eine Therapie mit Vesoxx bei </w:t>
      </w:r>
      <w:r w:rsidRPr="00395C9B">
        <w:rPr>
          <w:rFonts w:cs="Arial"/>
          <w:b w:val="0"/>
          <w:bCs w:val="0"/>
          <w:sz w:val="22"/>
          <w:szCs w:val="22"/>
          <w:highlight w:val="yellow"/>
        </w:rPr>
        <w:t>Peter Muster</w:t>
      </w:r>
      <w:r w:rsidRPr="00395C9B">
        <w:rPr>
          <w:rFonts w:cs="Arial"/>
          <w:b w:val="0"/>
          <w:bCs w:val="0"/>
          <w:sz w:val="22"/>
          <w:szCs w:val="22"/>
        </w:rPr>
        <w:t xml:space="preserve"> für klinisch sinnvoll und erwarte einen hohen therapeutischen Nutzen. </w:t>
      </w:r>
    </w:p>
    <w:p w14:paraId="195448F1" w14:textId="77777777" w:rsidR="00C375FC" w:rsidRPr="007E032C" w:rsidRDefault="00C375FC" w:rsidP="00C375FC">
      <w:pPr>
        <w:pStyle w:val="Text"/>
        <w:spacing w:line="276" w:lineRule="auto"/>
        <w:rPr>
          <w:rFonts w:ascii="Arial" w:eastAsia="Times New Roman" w:hAnsi="Arial" w:cs="Arial"/>
          <w:sz w:val="22"/>
          <w:szCs w:val="22"/>
          <w:lang w:val="de-CH" w:eastAsia="en-US"/>
        </w:rPr>
      </w:pPr>
      <w:r w:rsidRPr="00395C9B">
        <w:rPr>
          <w:rFonts w:ascii="Arial" w:eastAsia="Times New Roman" w:hAnsi="Arial" w:cs="Arial"/>
          <w:sz w:val="22"/>
          <w:szCs w:val="22"/>
          <w:lang w:val="de-CH" w:eastAsia="en-US"/>
        </w:rPr>
        <w:t xml:space="preserve">Ich möchte Sie daher bitten, </w:t>
      </w:r>
      <w:r w:rsidRPr="00395C9B">
        <w:rPr>
          <w:rFonts w:ascii="Arial" w:eastAsia="Times New Roman" w:hAnsi="Arial" w:cs="Arial"/>
          <w:sz w:val="22"/>
          <w:szCs w:val="22"/>
          <w:highlight w:val="yellow"/>
          <w:lang w:val="de-CH" w:eastAsia="en-US"/>
        </w:rPr>
        <w:t>Peter Muster</w:t>
      </w:r>
      <w:r w:rsidRPr="00395C9B">
        <w:rPr>
          <w:rFonts w:ascii="Arial" w:eastAsia="Times New Roman" w:hAnsi="Arial" w:cs="Arial"/>
          <w:sz w:val="22"/>
          <w:szCs w:val="22"/>
          <w:lang w:val="de-CH" w:eastAsia="en-US"/>
        </w:rPr>
        <w:t xml:space="preserve"> für die Behandlung mit Vesoxx aufgrund der </w:t>
      </w:r>
      <w:r w:rsidRPr="00511DAD">
        <w:rPr>
          <w:rFonts w:ascii="Arial" w:eastAsia="Times New Roman" w:hAnsi="Arial" w:cs="Arial"/>
          <w:sz w:val="22"/>
          <w:szCs w:val="22"/>
          <w:highlight w:val="yellow"/>
          <w:lang w:val="de-CH" w:eastAsia="en-US"/>
        </w:rPr>
        <w:t>1)</w:t>
      </w:r>
      <w:r w:rsidRPr="00395C9B">
        <w:rPr>
          <w:rFonts w:ascii="Arial" w:eastAsia="Times New Roman" w:hAnsi="Arial" w:cs="Arial"/>
          <w:sz w:val="22"/>
          <w:szCs w:val="22"/>
          <w:lang w:val="de-CH" w:eastAsia="en-US"/>
        </w:rPr>
        <w:t xml:space="preserve"> positiven Studiendaten, 2) dem </w:t>
      </w:r>
      <w:r w:rsidRPr="00395C9B">
        <w:rPr>
          <w:rFonts w:ascii="Arial" w:eastAsia="Times New Roman" w:hAnsi="Arial" w:cs="Arial"/>
          <w:iCs/>
          <w:sz w:val="22"/>
          <w:szCs w:val="22"/>
          <w:lang w:val="de-CH" w:eastAsia="en-US"/>
        </w:rPr>
        <w:t>Gesamtzustand des Patienten</w:t>
      </w:r>
      <w:r w:rsidRPr="00395C9B">
        <w:rPr>
          <w:rFonts w:ascii="Arial" w:eastAsia="Times New Roman" w:hAnsi="Arial" w:cs="Arial"/>
          <w:sz w:val="22"/>
          <w:szCs w:val="22"/>
          <w:lang w:val="de-CH" w:eastAsia="en-US"/>
        </w:rPr>
        <w:t xml:space="preserve">, 3) der zu erwartenden höheren Lebensqualität eine Kostengutsprache zu erteilen. </w:t>
      </w:r>
    </w:p>
    <w:p w14:paraId="517F05D7" w14:textId="77777777" w:rsidR="00C375FC" w:rsidRPr="00395C9B" w:rsidRDefault="00C375FC" w:rsidP="00C375FC">
      <w:pPr>
        <w:pStyle w:val="Text"/>
        <w:spacing w:line="276" w:lineRule="auto"/>
        <w:rPr>
          <w:rFonts w:ascii="Arial" w:hAnsi="Arial" w:cs="Arial"/>
          <w:sz w:val="22"/>
          <w:szCs w:val="22"/>
          <w:lang w:val="de-CH"/>
        </w:rPr>
      </w:pPr>
      <w:r w:rsidRPr="00395C9B">
        <w:rPr>
          <w:rFonts w:ascii="Arial" w:hAnsi="Arial" w:cs="Arial"/>
          <w:sz w:val="22"/>
          <w:szCs w:val="22"/>
          <w:lang w:val="de-CH"/>
        </w:rPr>
        <w:t>Im Voraus danke ich Ihnen für Ihre Bemühungen und stehe Ihnen jederzeit gerne für weitere Auskünfte zur Verfügung.</w:t>
      </w:r>
    </w:p>
    <w:p w14:paraId="110FDD1A" w14:textId="77777777" w:rsidR="00C375FC" w:rsidRPr="00395C9B" w:rsidRDefault="00C375FC" w:rsidP="00C375FC">
      <w:pPr>
        <w:spacing w:line="276" w:lineRule="auto"/>
        <w:jc w:val="both"/>
        <w:rPr>
          <w:rFonts w:ascii="Arial" w:eastAsia="MS Mincho" w:hAnsi="Arial" w:cs="Arial"/>
          <w:sz w:val="22"/>
          <w:szCs w:val="22"/>
          <w:lang w:val="de-CH" w:eastAsia="ja-JP"/>
        </w:rPr>
      </w:pPr>
    </w:p>
    <w:p w14:paraId="28A1F9AD" w14:textId="77777777" w:rsidR="00C375FC" w:rsidRPr="00395C9B" w:rsidRDefault="00C375FC" w:rsidP="00C375FC">
      <w:pPr>
        <w:spacing w:line="276" w:lineRule="auto"/>
        <w:jc w:val="both"/>
        <w:rPr>
          <w:rFonts w:ascii="Arial" w:hAnsi="Arial" w:cs="Arial"/>
          <w:sz w:val="22"/>
          <w:szCs w:val="22"/>
          <w:lang w:val="de-CH"/>
        </w:rPr>
      </w:pPr>
      <w:r w:rsidRPr="00395C9B">
        <w:rPr>
          <w:rFonts w:ascii="Arial" w:hAnsi="Arial" w:cs="Arial"/>
          <w:sz w:val="22"/>
          <w:szCs w:val="22"/>
          <w:lang w:val="de-CH"/>
        </w:rPr>
        <w:t>Freundliche Grüsse</w:t>
      </w:r>
    </w:p>
    <w:p w14:paraId="68F42368" w14:textId="77777777" w:rsidR="00C375FC" w:rsidRPr="000671D8" w:rsidRDefault="00C375FC" w:rsidP="00C375FC">
      <w:pPr>
        <w:spacing w:line="276" w:lineRule="auto"/>
        <w:jc w:val="both"/>
        <w:rPr>
          <w:rFonts w:ascii="Arial" w:hAnsi="Arial" w:cs="Arial"/>
          <w:noProof/>
          <w:sz w:val="22"/>
          <w:szCs w:val="22"/>
          <w:lang w:val="de-DE"/>
        </w:rPr>
      </w:pPr>
    </w:p>
    <w:p w14:paraId="78FF4A82" w14:textId="77777777" w:rsidR="00C375FC" w:rsidRDefault="00C375FC" w:rsidP="00C375FC">
      <w:pPr>
        <w:spacing w:line="276" w:lineRule="auto"/>
        <w:jc w:val="both"/>
        <w:rPr>
          <w:rFonts w:ascii="Arial" w:hAnsi="Arial" w:cs="Arial"/>
          <w:b/>
          <w:sz w:val="22"/>
          <w:szCs w:val="22"/>
          <w:lang w:val="de-CH"/>
        </w:rPr>
      </w:pPr>
      <w:r w:rsidRPr="00C375FC">
        <w:rPr>
          <w:rFonts w:ascii="Arial" w:hAnsi="Arial" w:cs="Arial"/>
          <w:b/>
          <w:sz w:val="22"/>
          <w:szCs w:val="22"/>
          <w:highlight w:val="yellow"/>
          <w:lang w:val="de-CH"/>
        </w:rPr>
        <w:t>Dr. med. Fritz Muster</w:t>
      </w:r>
    </w:p>
    <w:p w14:paraId="74DA557C" w14:textId="77777777" w:rsidR="00C375FC" w:rsidRDefault="00C375FC" w:rsidP="00C375FC">
      <w:pPr>
        <w:rPr>
          <w:rFonts w:ascii="Arial" w:hAnsi="Arial" w:cs="Arial"/>
          <w:b/>
          <w:sz w:val="22"/>
          <w:szCs w:val="22"/>
          <w:lang w:val="de-CH"/>
        </w:rPr>
      </w:pPr>
      <w:r>
        <w:rPr>
          <w:rFonts w:ascii="Arial" w:hAnsi="Arial" w:cs="Arial"/>
          <w:b/>
          <w:sz w:val="22"/>
          <w:szCs w:val="22"/>
          <w:lang w:val="de-CH"/>
        </w:rPr>
        <w:br w:type="page"/>
      </w:r>
    </w:p>
    <w:p w14:paraId="770E646A" w14:textId="77777777" w:rsidR="00C375FC" w:rsidRPr="00E460C1" w:rsidRDefault="00C375FC" w:rsidP="00C375FC">
      <w:pPr>
        <w:spacing w:line="276" w:lineRule="auto"/>
        <w:jc w:val="both"/>
        <w:rPr>
          <w:rFonts w:ascii="Arial" w:hAnsi="Arial" w:cs="Arial"/>
          <w:b/>
          <w:sz w:val="22"/>
          <w:szCs w:val="22"/>
          <w:lang w:val="de-CH"/>
        </w:rPr>
      </w:pPr>
      <w:r>
        <w:rPr>
          <w:rFonts w:ascii="Arial" w:hAnsi="Arial" w:cs="Arial"/>
          <w:b/>
          <w:sz w:val="22"/>
          <w:szCs w:val="22"/>
          <w:lang w:val="de-CH"/>
        </w:rPr>
        <w:t xml:space="preserve"> </w:t>
      </w:r>
    </w:p>
    <w:p w14:paraId="7E2F25C6" w14:textId="77777777" w:rsidR="00C375FC" w:rsidRDefault="00C375FC" w:rsidP="00C375FC">
      <w:pPr>
        <w:pStyle w:val="Fuzeile"/>
        <w:rPr>
          <w:rFonts w:eastAsia="MS Mincho" w:cs="Arial"/>
          <w:sz w:val="22"/>
          <w:szCs w:val="22"/>
          <w:u w:val="single"/>
          <w:lang w:val="de-DE" w:eastAsia="ja-JP"/>
        </w:rPr>
      </w:pPr>
    </w:p>
    <w:p w14:paraId="71C91317" w14:textId="77777777" w:rsidR="00C375FC" w:rsidRDefault="00C375FC" w:rsidP="00C375FC">
      <w:pPr>
        <w:pStyle w:val="Fuzeile"/>
        <w:rPr>
          <w:rFonts w:eastAsia="MS Mincho" w:cs="Arial"/>
          <w:sz w:val="22"/>
          <w:szCs w:val="22"/>
          <w:u w:val="single"/>
          <w:lang w:val="de-DE" w:eastAsia="ja-JP"/>
        </w:rPr>
      </w:pPr>
    </w:p>
    <w:p w14:paraId="49EE446D" w14:textId="77777777" w:rsidR="00C375FC" w:rsidRPr="00E460C1" w:rsidRDefault="00C375FC" w:rsidP="00C375FC">
      <w:pPr>
        <w:pStyle w:val="Fuzeile"/>
        <w:rPr>
          <w:rFonts w:eastAsia="MS Mincho" w:cs="Arial"/>
          <w:sz w:val="22"/>
          <w:szCs w:val="22"/>
          <w:u w:val="single"/>
          <w:lang w:val="de-DE" w:eastAsia="ja-JP"/>
        </w:rPr>
      </w:pPr>
      <w:r w:rsidRPr="00E460C1">
        <w:rPr>
          <w:rFonts w:eastAsia="MS Mincho" w:cs="Arial"/>
          <w:sz w:val="22"/>
          <w:szCs w:val="22"/>
          <w:u w:val="single"/>
          <w:lang w:val="de-DE" w:eastAsia="ja-JP"/>
        </w:rPr>
        <w:t>Referenzen:</w:t>
      </w:r>
    </w:p>
    <w:p w14:paraId="54C3F92A" w14:textId="77777777" w:rsidR="00C375FC" w:rsidRDefault="00C375FC" w:rsidP="00C375FC">
      <w:pPr>
        <w:rPr>
          <w:rFonts w:ascii="Arial" w:eastAsia="MS Mincho" w:hAnsi="Arial" w:cs="Arial"/>
          <w:sz w:val="22"/>
          <w:szCs w:val="22"/>
          <w:lang w:val="de-CH" w:eastAsia="ja-JP"/>
        </w:rPr>
      </w:pPr>
    </w:p>
    <w:p w14:paraId="7D3AABDA" w14:textId="77777777" w:rsidR="00C375FC" w:rsidRDefault="00C375FC" w:rsidP="00C375FC">
      <w:pPr>
        <w:pStyle w:val="Listenabsatz"/>
        <w:numPr>
          <w:ilvl w:val="0"/>
          <w:numId w:val="1"/>
        </w:numPr>
        <w:jc w:val="both"/>
        <w:rPr>
          <w:rFonts w:ascii="Arial" w:hAnsi="Arial" w:cs="Arial"/>
        </w:rPr>
      </w:pPr>
      <w:proofErr w:type="spellStart"/>
      <w:r w:rsidRPr="00446F76">
        <w:rPr>
          <w:rFonts w:ascii="Arial" w:hAnsi="Arial" w:cs="Arial"/>
          <w:lang w:val="en-US"/>
        </w:rPr>
        <w:t>Madersbacher</w:t>
      </w:r>
      <w:proofErr w:type="spellEnd"/>
      <w:r w:rsidRPr="00446F76">
        <w:rPr>
          <w:rFonts w:ascii="Arial" w:hAnsi="Arial" w:cs="Arial"/>
          <w:lang w:val="en-US"/>
        </w:rPr>
        <w:t xml:space="preserve"> H, </w:t>
      </w:r>
      <w:proofErr w:type="spellStart"/>
      <w:r w:rsidRPr="00446F76">
        <w:rPr>
          <w:rFonts w:ascii="Arial" w:hAnsi="Arial" w:cs="Arial"/>
          <w:lang w:val="en-US"/>
        </w:rPr>
        <w:t>Jilg</w:t>
      </w:r>
      <w:proofErr w:type="spellEnd"/>
      <w:r w:rsidRPr="00446F76">
        <w:rPr>
          <w:rFonts w:ascii="Arial" w:hAnsi="Arial" w:cs="Arial"/>
          <w:lang w:val="en-US"/>
        </w:rPr>
        <w:t xml:space="preserve"> G. Control of detrusor hyperreflexia by the intravesical instillation of </w:t>
      </w:r>
      <w:proofErr w:type="spellStart"/>
      <w:r w:rsidRPr="00446F76">
        <w:rPr>
          <w:rFonts w:ascii="Arial" w:hAnsi="Arial" w:cs="Arial"/>
          <w:lang w:val="en-US"/>
        </w:rPr>
        <w:t>oxybutynine</w:t>
      </w:r>
      <w:proofErr w:type="spellEnd"/>
      <w:r w:rsidRPr="00446F76">
        <w:rPr>
          <w:rFonts w:ascii="Arial" w:hAnsi="Arial" w:cs="Arial"/>
          <w:lang w:val="en-US"/>
        </w:rPr>
        <w:t xml:space="preserve"> hydrochloride. </w:t>
      </w:r>
      <w:proofErr w:type="spellStart"/>
      <w:r w:rsidRPr="00446F76">
        <w:rPr>
          <w:rFonts w:ascii="Arial" w:hAnsi="Arial" w:cs="Arial"/>
        </w:rPr>
        <w:t>Paraplegia</w:t>
      </w:r>
      <w:proofErr w:type="spellEnd"/>
      <w:r w:rsidRPr="00446F76">
        <w:rPr>
          <w:rFonts w:ascii="Arial" w:hAnsi="Arial" w:cs="Arial"/>
        </w:rPr>
        <w:t xml:space="preserve">. 1991 Feb;29(2):84-90. </w:t>
      </w:r>
    </w:p>
    <w:p w14:paraId="4EDFC41A" w14:textId="77777777" w:rsidR="00C375FC" w:rsidRPr="00446F76" w:rsidRDefault="00C375FC" w:rsidP="00C375FC">
      <w:pPr>
        <w:pStyle w:val="Listenabsatz"/>
        <w:numPr>
          <w:ilvl w:val="0"/>
          <w:numId w:val="1"/>
        </w:numPr>
        <w:rPr>
          <w:rFonts w:ascii="Arial" w:hAnsi="Arial" w:cs="Arial"/>
        </w:rPr>
      </w:pPr>
      <w:r w:rsidRPr="00CE7051">
        <w:rPr>
          <w:rFonts w:ascii="Arial" w:hAnsi="Arial" w:cs="Arial"/>
          <w:lang w:val="de-DE"/>
        </w:rPr>
        <w:t xml:space="preserve">Pannek, J., H. J. Sommerfeld, U. Bötel and T. Senge (2000). </w:t>
      </w:r>
      <w:r w:rsidRPr="00CE7051">
        <w:rPr>
          <w:rFonts w:ascii="Arial" w:hAnsi="Arial" w:cs="Arial"/>
          <w:lang w:val="en-US"/>
        </w:rPr>
        <w:t xml:space="preserve">"Combined intravesical and oral oxybutynin chloride in adult patients with spinal cord injury." </w:t>
      </w:r>
      <w:r w:rsidRPr="00932906">
        <w:rPr>
          <w:rFonts w:ascii="Arial" w:hAnsi="Arial" w:cs="Arial"/>
        </w:rPr>
        <w:t>Urology 55(3): 358-362</w:t>
      </w:r>
    </w:p>
    <w:p w14:paraId="797307A9" w14:textId="77777777" w:rsidR="00C375FC" w:rsidRPr="00446F76" w:rsidRDefault="00C375FC" w:rsidP="00C375FC">
      <w:pPr>
        <w:pStyle w:val="Listenabsatz"/>
        <w:numPr>
          <w:ilvl w:val="0"/>
          <w:numId w:val="1"/>
        </w:numPr>
        <w:rPr>
          <w:rFonts w:ascii="Arial" w:hAnsi="Arial" w:cs="Arial"/>
        </w:rPr>
      </w:pPr>
      <w:r w:rsidRPr="00446F76">
        <w:rPr>
          <w:rFonts w:ascii="Arial" w:eastAsia="MS Mincho" w:hAnsi="Arial" w:cs="Arial"/>
          <w:lang w:val="en-US" w:eastAsia="ja-JP"/>
        </w:rPr>
        <w:t>D</w:t>
      </w:r>
      <w:r w:rsidRPr="00446F76">
        <w:rPr>
          <w:rFonts w:ascii="Arial" w:hAnsi="Arial" w:cs="Arial"/>
          <w:lang w:val="en-US"/>
        </w:rPr>
        <w:t xml:space="preserve">e Jong TP, </w:t>
      </w:r>
      <w:proofErr w:type="spellStart"/>
      <w:r w:rsidRPr="00446F76">
        <w:rPr>
          <w:rFonts w:ascii="Arial" w:hAnsi="Arial" w:cs="Arial"/>
          <w:lang w:val="en-US"/>
        </w:rPr>
        <w:t>Chrzan</w:t>
      </w:r>
      <w:proofErr w:type="spellEnd"/>
      <w:r w:rsidRPr="00446F76">
        <w:rPr>
          <w:rFonts w:ascii="Arial" w:hAnsi="Arial" w:cs="Arial"/>
          <w:lang w:val="en-US"/>
        </w:rPr>
        <w:t xml:space="preserve"> R, </w:t>
      </w:r>
      <w:proofErr w:type="spellStart"/>
      <w:r w:rsidRPr="00446F76">
        <w:rPr>
          <w:rFonts w:ascii="Arial" w:hAnsi="Arial" w:cs="Arial"/>
          <w:lang w:val="en-US"/>
        </w:rPr>
        <w:t>Klijn</w:t>
      </w:r>
      <w:proofErr w:type="spellEnd"/>
      <w:r w:rsidRPr="00446F76">
        <w:rPr>
          <w:rFonts w:ascii="Arial" w:hAnsi="Arial" w:cs="Arial"/>
          <w:lang w:val="en-US"/>
        </w:rPr>
        <w:t xml:space="preserve"> AJ, </w:t>
      </w:r>
      <w:proofErr w:type="spellStart"/>
      <w:r w:rsidRPr="00446F76">
        <w:rPr>
          <w:rFonts w:ascii="Arial" w:hAnsi="Arial" w:cs="Arial"/>
          <w:lang w:val="en-US"/>
        </w:rPr>
        <w:t>Dik</w:t>
      </w:r>
      <w:proofErr w:type="spellEnd"/>
      <w:r w:rsidRPr="00446F76">
        <w:rPr>
          <w:rFonts w:ascii="Arial" w:hAnsi="Arial" w:cs="Arial"/>
          <w:lang w:val="en-US"/>
        </w:rPr>
        <w:t xml:space="preserve"> P. Treatment of the neurogenic bladder in spina bifida. </w:t>
      </w:r>
      <w:proofErr w:type="spellStart"/>
      <w:r w:rsidRPr="00446F76">
        <w:rPr>
          <w:rFonts w:ascii="Arial" w:hAnsi="Arial" w:cs="Arial"/>
        </w:rPr>
        <w:t>Pediatr</w:t>
      </w:r>
      <w:proofErr w:type="spellEnd"/>
      <w:r w:rsidRPr="00446F76">
        <w:rPr>
          <w:rFonts w:ascii="Arial" w:hAnsi="Arial" w:cs="Arial"/>
        </w:rPr>
        <w:t xml:space="preserve"> </w:t>
      </w:r>
      <w:proofErr w:type="spellStart"/>
      <w:r w:rsidRPr="00446F76">
        <w:rPr>
          <w:rFonts w:ascii="Arial" w:hAnsi="Arial" w:cs="Arial"/>
        </w:rPr>
        <w:t>Nephrol</w:t>
      </w:r>
      <w:proofErr w:type="spellEnd"/>
      <w:r w:rsidRPr="00446F76">
        <w:rPr>
          <w:rFonts w:ascii="Arial" w:hAnsi="Arial" w:cs="Arial"/>
        </w:rPr>
        <w:t>. 2008;23(6):889-96.</w:t>
      </w:r>
    </w:p>
    <w:p w14:paraId="4CF9E604" w14:textId="77777777" w:rsidR="00C375FC" w:rsidRPr="00446F76" w:rsidRDefault="00C375FC" w:rsidP="00C375FC">
      <w:pPr>
        <w:pStyle w:val="Listenabsatz"/>
        <w:numPr>
          <w:ilvl w:val="0"/>
          <w:numId w:val="1"/>
        </w:numPr>
        <w:rPr>
          <w:rFonts w:ascii="Arial" w:hAnsi="Arial" w:cs="Arial"/>
          <w:lang w:val="de-CH"/>
        </w:rPr>
      </w:pPr>
      <w:r w:rsidRPr="00446F76">
        <w:rPr>
          <w:rFonts w:ascii="Arial" w:hAnsi="Arial" w:cs="Arial"/>
        </w:rPr>
        <w:t xml:space="preserve">Stein R, </w:t>
      </w:r>
      <w:proofErr w:type="spellStart"/>
      <w:r w:rsidRPr="00446F76">
        <w:rPr>
          <w:rFonts w:ascii="Arial" w:hAnsi="Arial" w:cs="Arial"/>
        </w:rPr>
        <w:t>Assion</w:t>
      </w:r>
      <w:proofErr w:type="spellEnd"/>
      <w:r w:rsidRPr="00446F76">
        <w:rPr>
          <w:rFonts w:ascii="Arial" w:hAnsi="Arial" w:cs="Arial"/>
        </w:rPr>
        <w:t xml:space="preserve"> C, Beetz R, </w:t>
      </w:r>
      <w:proofErr w:type="spellStart"/>
      <w:r w:rsidRPr="00446F76">
        <w:rPr>
          <w:rFonts w:ascii="Arial" w:hAnsi="Arial" w:cs="Arial"/>
        </w:rPr>
        <w:t>Bürst</w:t>
      </w:r>
      <w:proofErr w:type="spellEnd"/>
      <w:r w:rsidRPr="00446F76">
        <w:rPr>
          <w:rFonts w:ascii="Arial" w:hAnsi="Arial" w:cs="Arial"/>
        </w:rPr>
        <w:t xml:space="preserve"> M, Cremer R, Ermert A, et al. Diagnostik und Therapie der neurogenen Blasenentleerungsstörungen bei Patienten mit </w:t>
      </w:r>
      <w:proofErr w:type="spellStart"/>
      <w:r w:rsidRPr="00446F76">
        <w:rPr>
          <w:rFonts w:ascii="Arial" w:hAnsi="Arial" w:cs="Arial"/>
        </w:rPr>
        <w:t>Meningomyelocele</w:t>
      </w:r>
      <w:proofErr w:type="spellEnd"/>
      <w:r w:rsidRPr="00446F76">
        <w:rPr>
          <w:rFonts w:ascii="Arial" w:hAnsi="Arial" w:cs="Arial"/>
        </w:rPr>
        <w:t xml:space="preserve">, AWMF-Register 043/047. </w:t>
      </w:r>
      <w:r w:rsidRPr="00446F76">
        <w:rPr>
          <w:rFonts w:ascii="Arial" w:hAnsi="Arial" w:cs="Arial"/>
          <w:lang w:val="de-CH"/>
        </w:rPr>
        <w:t>2013</w:t>
      </w:r>
    </w:p>
    <w:p w14:paraId="29F9F89A" w14:textId="77777777" w:rsidR="00C375FC" w:rsidRDefault="00C375FC" w:rsidP="00C375FC">
      <w:pPr>
        <w:rPr>
          <w:rFonts w:ascii="Arial" w:hAnsi="Arial" w:cs="Arial"/>
          <w:sz w:val="22"/>
          <w:szCs w:val="22"/>
          <w:highlight w:val="cyan"/>
          <w:lang w:val="en-US"/>
        </w:rPr>
      </w:pPr>
    </w:p>
    <w:p w14:paraId="75C2FAEB" w14:textId="77777777" w:rsidR="00C375FC" w:rsidRPr="009C32EE" w:rsidRDefault="00C375FC" w:rsidP="00C375FC">
      <w:pPr>
        <w:rPr>
          <w:rFonts w:ascii="Arial" w:hAnsi="Arial" w:cs="Arial"/>
          <w:sz w:val="22"/>
          <w:szCs w:val="22"/>
          <w:lang w:val="en-US"/>
        </w:rPr>
      </w:pPr>
      <w:proofErr w:type="spellStart"/>
      <w:r w:rsidRPr="009C32EE">
        <w:rPr>
          <w:rFonts w:ascii="Arial" w:hAnsi="Arial" w:cs="Arial"/>
          <w:sz w:val="22"/>
          <w:szCs w:val="22"/>
          <w:lang w:val="en-US"/>
        </w:rPr>
        <w:t>Zusätzliche</w:t>
      </w:r>
      <w:proofErr w:type="spellEnd"/>
      <w:r w:rsidRPr="009C32EE">
        <w:rPr>
          <w:rFonts w:ascii="Arial" w:hAnsi="Arial" w:cs="Arial"/>
          <w:sz w:val="22"/>
          <w:szCs w:val="22"/>
          <w:lang w:val="en-US"/>
        </w:rPr>
        <w:t xml:space="preserve"> </w:t>
      </w:r>
      <w:proofErr w:type="spellStart"/>
      <w:r w:rsidRPr="009C32EE">
        <w:rPr>
          <w:rFonts w:ascii="Arial" w:hAnsi="Arial" w:cs="Arial"/>
          <w:sz w:val="22"/>
          <w:szCs w:val="22"/>
          <w:lang w:val="en-US"/>
        </w:rPr>
        <w:t>Literatur</w:t>
      </w:r>
      <w:proofErr w:type="spellEnd"/>
      <w:r w:rsidRPr="009C32EE">
        <w:rPr>
          <w:rFonts w:ascii="Arial" w:hAnsi="Arial" w:cs="Arial"/>
          <w:sz w:val="22"/>
          <w:szCs w:val="22"/>
          <w:lang w:val="en-US"/>
        </w:rPr>
        <w:t>:</w:t>
      </w:r>
    </w:p>
    <w:p w14:paraId="5420F471" w14:textId="77777777" w:rsidR="00C375FC" w:rsidRPr="009C32EE" w:rsidRDefault="00C375FC" w:rsidP="00C375FC">
      <w:pPr>
        <w:pStyle w:val="Text"/>
        <w:spacing w:line="276" w:lineRule="auto"/>
        <w:rPr>
          <w:rFonts w:ascii="Arial" w:hAnsi="Arial" w:cs="Arial"/>
          <w:sz w:val="22"/>
          <w:szCs w:val="22"/>
          <w:lang w:val="de-CH"/>
        </w:rPr>
      </w:pPr>
    </w:p>
    <w:p w14:paraId="0F4E829F" w14:textId="77777777" w:rsidR="00C375FC" w:rsidRPr="009C32EE" w:rsidRDefault="00C375FC" w:rsidP="00C375FC">
      <w:pPr>
        <w:pStyle w:val="Text"/>
        <w:spacing w:line="276" w:lineRule="auto"/>
        <w:rPr>
          <w:rFonts w:ascii="Arial" w:hAnsi="Arial" w:cs="Arial"/>
          <w:sz w:val="22"/>
          <w:szCs w:val="22"/>
          <w:lang w:val="de-CH" w:eastAsia="en-US"/>
        </w:rPr>
      </w:pPr>
      <w:r w:rsidRPr="009C32EE">
        <w:rPr>
          <w:rFonts w:ascii="Arial" w:eastAsia="Times New Roman" w:hAnsi="Arial" w:cs="Arial"/>
          <w:sz w:val="22"/>
          <w:szCs w:val="22"/>
          <w:lang w:val="de-CH" w:eastAsia="en-US"/>
        </w:rPr>
        <w:t xml:space="preserve">Blok B, Pannek J, Castro Diaz D, Del </w:t>
      </w:r>
      <w:proofErr w:type="spellStart"/>
      <w:r w:rsidRPr="009C32EE">
        <w:rPr>
          <w:rFonts w:ascii="Arial" w:eastAsia="Times New Roman" w:hAnsi="Arial" w:cs="Arial"/>
          <w:sz w:val="22"/>
          <w:szCs w:val="22"/>
          <w:lang w:val="de-CH" w:eastAsia="en-US"/>
        </w:rPr>
        <w:t>Popolo</w:t>
      </w:r>
      <w:proofErr w:type="spellEnd"/>
      <w:r w:rsidRPr="009C32EE">
        <w:rPr>
          <w:rFonts w:ascii="Arial" w:eastAsia="Times New Roman" w:hAnsi="Arial" w:cs="Arial"/>
          <w:sz w:val="22"/>
          <w:szCs w:val="22"/>
          <w:lang w:val="de-CH" w:eastAsia="en-US"/>
        </w:rPr>
        <w:t xml:space="preserve"> G, Groen J, Gross T, et al. Guidelines on Neuro-Urology. </w:t>
      </w:r>
    </w:p>
    <w:p w14:paraId="51F5D2FF" w14:textId="77777777" w:rsidR="00C375FC" w:rsidRPr="009C32EE" w:rsidRDefault="00C375FC" w:rsidP="00C375FC">
      <w:pPr>
        <w:pStyle w:val="Text"/>
        <w:spacing w:line="276" w:lineRule="auto"/>
        <w:rPr>
          <w:rFonts w:ascii="Arial" w:eastAsia="Times New Roman" w:hAnsi="Arial" w:cs="Arial"/>
          <w:lang w:val="de-CH"/>
        </w:rPr>
      </w:pPr>
      <w:r w:rsidRPr="009C32EE">
        <w:rPr>
          <w:rFonts w:ascii="Arial" w:eastAsia="Times New Roman" w:hAnsi="Arial" w:cs="Arial"/>
          <w:sz w:val="22"/>
          <w:szCs w:val="22"/>
          <w:lang w:val="de-CH" w:eastAsia="en-US"/>
        </w:rPr>
        <w:fldChar w:fldCharType="begin"/>
      </w:r>
      <w:r w:rsidRPr="009C32EE">
        <w:rPr>
          <w:rFonts w:ascii="Arial" w:hAnsi="Arial" w:cs="Arial"/>
          <w:sz w:val="22"/>
          <w:szCs w:val="22"/>
          <w:lang w:val="de-CH"/>
        </w:rPr>
        <w:instrText xml:space="preserve"> ADDIN EN.REFLIST </w:instrText>
      </w:r>
      <w:r w:rsidRPr="009C32EE">
        <w:rPr>
          <w:rFonts w:ascii="Arial" w:eastAsia="Times New Roman" w:hAnsi="Arial" w:cs="Arial"/>
          <w:sz w:val="22"/>
          <w:szCs w:val="22"/>
          <w:lang w:val="de-CH" w:eastAsia="en-US"/>
        </w:rPr>
        <w:fldChar w:fldCharType="separate"/>
      </w:r>
    </w:p>
    <w:p w14:paraId="5EAC542E" w14:textId="77777777" w:rsidR="00C375FC" w:rsidRPr="009C32EE" w:rsidRDefault="00C375FC" w:rsidP="00C375FC">
      <w:pPr>
        <w:pStyle w:val="Text"/>
        <w:spacing w:line="276" w:lineRule="auto"/>
        <w:rPr>
          <w:rFonts w:ascii="Arial" w:eastAsia="Times New Roman" w:hAnsi="Arial" w:cs="Arial"/>
          <w:sz w:val="22"/>
          <w:szCs w:val="22"/>
          <w:lang w:eastAsia="en-US"/>
        </w:rPr>
      </w:pPr>
      <w:r w:rsidRPr="009C32EE">
        <w:rPr>
          <w:rFonts w:ascii="Arial" w:eastAsia="Times New Roman" w:hAnsi="Arial" w:cs="Arial"/>
          <w:sz w:val="22"/>
          <w:szCs w:val="22"/>
          <w:lang w:eastAsia="en-US"/>
        </w:rPr>
        <w:t>Brendler, C. B., L. C. Radebaugh and J. L. Mohler (1989). "Topical oxybutynin chloride for relaxation of dysfunctional bladders." The Journal of urology 141(6): 1350-1352.</w:t>
      </w:r>
    </w:p>
    <w:p w14:paraId="142656DC" w14:textId="77777777" w:rsidR="00C375FC" w:rsidRPr="009C32EE" w:rsidRDefault="00C375FC" w:rsidP="00C375FC">
      <w:pPr>
        <w:pStyle w:val="Text"/>
        <w:spacing w:line="276" w:lineRule="auto"/>
        <w:rPr>
          <w:rFonts w:ascii="Arial" w:eastAsia="Times New Roman" w:hAnsi="Arial" w:cs="Arial"/>
          <w:sz w:val="22"/>
          <w:szCs w:val="22"/>
          <w:lang w:eastAsia="en-US"/>
        </w:rPr>
      </w:pPr>
    </w:p>
    <w:p w14:paraId="1DDEE9D9" w14:textId="77777777" w:rsidR="00C375FC" w:rsidRPr="009C32EE" w:rsidRDefault="00C375FC" w:rsidP="00C375FC">
      <w:pPr>
        <w:pStyle w:val="Text"/>
        <w:spacing w:line="276" w:lineRule="auto"/>
        <w:rPr>
          <w:rFonts w:ascii="Arial" w:eastAsia="Times New Roman" w:hAnsi="Arial" w:cs="Arial"/>
          <w:sz w:val="22"/>
          <w:szCs w:val="22"/>
          <w:lang w:eastAsia="en-US"/>
        </w:rPr>
      </w:pPr>
      <w:r w:rsidRPr="009C32EE">
        <w:rPr>
          <w:rFonts w:ascii="Arial" w:eastAsia="Times New Roman" w:hAnsi="Arial" w:cs="Arial"/>
          <w:sz w:val="22"/>
          <w:szCs w:val="22"/>
          <w:lang w:eastAsia="en-US"/>
        </w:rPr>
        <w:t>Buyse, G., C. Verpoorten, R. Vereecken and P. Casaer (1998). "Intravesical application of a stable oxybutynin solution improves therapeutic compliance and acceptance in children with neurogenic bladder dysfunction." The Journal of Urology 160(3 Pt 2): 1084-1087; discussion 1092.</w:t>
      </w:r>
    </w:p>
    <w:p w14:paraId="0BBDFEF4" w14:textId="77777777" w:rsidR="00C375FC" w:rsidRPr="009C32EE" w:rsidRDefault="00C375FC" w:rsidP="00C375FC">
      <w:pPr>
        <w:pStyle w:val="Text"/>
        <w:spacing w:line="276" w:lineRule="auto"/>
        <w:rPr>
          <w:rFonts w:ascii="Arial" w:eastAsia="Times New Roman" w:hAnsi="Arial" w:cs="Arial"/>
          <w:sz w:val="22"/>
          <w:szCs w:val="22"/>
          <w:lang w:eastAsia="en-US"/>
        </w:rPr>
      </w:pPr>
    </w:p>
    <w:p w14:paraId="12EA974F" w14:textId="77777777" w:rsidR="00C375FC" w:rsidRPr="009C32EE" w:rsidRDefault="00C375FC" w:rsidP="00C375FC">
      <w:pPr>
        <w:pStyle w:val="Text"/>
        <w:spacing w:line="276" w:lineRule="auto"/>
        <w:rPr>
          <w:rFonts w:ascii="Arial" w:eastAsia="Times New Roman" w:hAnsi="Arial" w:cs="Arial"/>
          <w:sz w:val="22"/>
          <w:szCs w:val="22"/>
          <w:lang w:eastAsia="en-US"/>
        </w:rPr>
      </w:pPr>
      <w:r w:rsidRPr="009C32EE">
        <w:rPr>
          <w:rFonts w:ascii="Arial" w:eastAsia="Times New Roman" w:hAnsi="Arial" w:cs="Arial"/>
          <w:sz w:val="22"/>
          <w:szCs w:val="22"/>
          <w:lang w:eastAsia="en-US"/>
        </w:rPr>
        <w:t>de Sèze, M., A. Ruffion, P. Denys, P. A. Joseph and B. Perrouin-Verbe (2007). "The neurogenic bladder in multiple sclerosis: review of the literature and proposal of management guidelines." Mult Scler 13(7): 915-928.</w:t>
      </w:r>
    </w:p>
    <w:p w14:paraId="4CBB5BCF" w14:textId="77777777" w:rsidR="00C375FC" w:rsidRPr="009C32EE" w:rsidRDefault="00C375FC" w:rsidP="00C375FC">
      <w:pPr>
        <w:pStyle w:val="Text"/>
        <w:spacing w:line="276" w:lineRule="auto"/>
        <w:rPr>
          <w:rFonts w:ascii="Arial" w:eastAsia="Times New Roman" w:hAnsi="Arial" w:cs="Arial"/>
          <w:sz w:val="22"/>
          <w:szCs w:val="22"/>
          <w:lang w:eastAsia="en-US"/>
        </w:rPr>
      </w:pPr>
    </w:p>
    <w:p w14:paraId="4ABDF12F" w14:textId="77777777" w:rsidR="00C375FC" w:rsidRPr="009C32EE" w:rsidRDefault="00C375FC" w:rsidP="00C375FC">
      <w:pPr>
        <w:pStyle w:val="Default"/>
        <w:jc w:val="both"/>
        <w:rPr>
          <w:rFonts w:ascii="Arial" w:hAnsi="Arial" w:cs="Arial"/>
          <w:color w:val="auto"/>
          <w:sz w:val="22"/>
          <w:szCs w:val="22"/>
          <w:lang w:val="en-US" w:eastAsia="en-US"/>
        </w:rPr>
      </w:pPr>
      <w:r w:rsidRPr="009C32EE">
        <w:rPr>
          <w:rFonts w:ascii="Arial" w:hAnsi="Arial" w:cs="Arial"/>
          <w:color w:val="auto"/>
          <w:sz w:val="22"/>
          <w:szCs w:val="22"/>
          <w:lang w:val="en-US" w:eastAsia="en-US"/>
        </w:rPr>
        <w:t>Ferrara P, D'Aleo CM, Tarquini E, Salvatore S, Salvaggio E. Side-effects of oral or intravesical oxybutynin chloride in children with spina bifida. BJU international 2001;87:674-8.</w:t>
      </w:r>
    </w:p>
    <w:p w14:paraId="73DA81DF" w14:textId="77777777" w:rsidR="00C375FC" w:rsidRPr="009C32EE" w:rsidRDefault="00C375FC" w:rsidP="00C375FC">
      <w:pPr>
        <w:pStyle w:val="Default"/>
        <w:jc w:val="both"/>
        <w:rPr>
          <w:rFonts w:ascii="Arial" w:hAnsi="Arial" w:cs="Arial"/>
          <w:color w:val="auto"/>
          <w:sz w:val="22"/>
          <w:szCs w:val="22"/>
          <w:lang w:val="en-US" w:eastAsia="en-US"/>
        </w:rPr>
      </w:pPr>
    </w:p>
    <w:p w14:paraId="20B53423" w14:textId="77777777" w:rsidR="00C375FC" w:rsidRPr="009C32EE" w:rsidRDefault="00C375FC" w:rsidP="00C375FC">
      <w:pPr>
        <w:pStyle w:val="Default"/>
        <w:jc w:val="both"/>
        <w:rPr>
          <w:rFonts w:ascii="Arial" w:hAnsi="Arial" w:cs="Arial"/>
          <w:color w:val="auto"/>
          <w:sz w:val="22"/>
          <w:szCs w:val="22"/>
          <w:lang w:val="de-CH" w:eastAsia="en-US"/>
        </w:rPr>
      </w:pPr>
      <w:r w:rsidRPr="009C32EE">
        <w:rPr>
          <w:rFonts w:ascii="Arial" w:hAnsi="Arial" w:cs="Arial"/>
          <w:color w:val="auto"/>
          <w:sz w:val="22"/>
          <w:szCs w:val="22"/>
          <w:lang w:val="en-US" w:eastAsia="en-US"/>
        </w:rPr>
        <w:t xml:space="preserve">Greenfield SP, Fera M. The use of intravesical oxybutynin chloride in children with neurogenic bladder. </w:t>
      </w:r>
      <w:r w:rsidRPr="009C32EE">
        <w:rPr>
          <w:rFonts w:ascii="Arial" w:hAnsi="Arial" w:cs="Arial"/>
          <w:color w:val="auto"/>
          <w:sz w:val="22"/>
          <w:szCs w:val="22"/>
          <w:lang w:val="de-CH" w:eastAsia="en-US"/>
        </w:rPr>
        <w:t>The Journal of Urology 1991;146:532-4.</w:t>
      </w:r>
    </w:p>
    <w:p w14:paraId="629DDA63" w14:textId="77777777" w:rsidR="00C375FC" w:rsidRPr="009C32EE" w:rsidRDefault="00C375FC" w:rsidP="00C375FC">
      <w:pPr>
        <w:pStyle w:val="Text"/>
        <w:spacing w:line="276" w:lineRule="auto"/>
        <w:rPr>
          <w:rFonts w:ascii="Arial" w:eastAsia="Times New Roman" w:hAnsi="Arial" w:cs="Arial"/>
          <w:sz w:val="22"/>
          <w:szCs w:val="22"/>
          <w:lang w:val="de-CH" w:eastAsia="en-US"/>
        </w:rPr>
      </w:pPr>
    </w:p>
    <w:p w14:paraId="5CCFE03B" w14:textId="77777777" w:rsidR="00C375FC" w:rsidRPr="009C32EE" w:rsidRDefault="00C375FC" w:rsidP="00C375FC">
      <w:pPr>
        <w:pStyle w:val="Text"/>
        <w:spacing w:line="276" w:lineRule="auto"/>
        <w:rPr>
          <w:rFonts w:ascii="Arial" w:eastAsia="Times New Roman" w:hAnsi="Arial" w:cs="Arial"/>
          <w:sz w:val="22"/>
          <w:szCs w:val="22"/>
          <w:lang w:val="de-CH" w:eastAsia="en-US"/>
        </w:rPr>
      </w:pPr>
      <w:r w:rsidRPr="009C32EE">
        <w:rPr>
          <w:rFonts w:ascii="Arial" w:eastAsia="Times New Roman" w:hAnsi="Arial" w:cs="Arial"/>
          <w:sz w:val="22"/>
          <w:szCs w:val="22"/>
          <w:lang w:val="de-CH" w:eastAsia="en-US"/>
        </w:rPr>
        <w:t>Haensch, C.-A. (2020). "Diagnostik und Therapie von neurogenen Blasen-störungen, S1-Leitlinie, , in: ." Deutsche Gesellschaft für Neurologie (Hrsg.), Leitlinien für Diagnostik und Therapie in der Neurologie.</w:t>
      </w:r>
    </w:p>
    <w:p w14:paraId="2DDA103A" w14:textId="77777777" w:rsidR="00C375FC" w:rsidRPr="009C32EE" w:rsidRDefault="00C375FC" w:rsidP="00C375FC">
      <w:pPr>
        <w:pStyle w:val="Text"/>
        <w:spacing w:line="276" w:lineRule="auto"/>
        <w:rPr>
          <w:rFonts w:ascii="Arial" w:eastAsia="Times New Roman" w:hAnsi="Arial" w:cs="Arial"/>
          <w:sz w:val="22"/>
          <w:szCs w:val="22"/>
          <w:lang w:val="de-CH" w:eastAsia="en-US"/>
        </w:rPr>
      </w:pPr>
    </w:p>
    <w:p w14:paraId="21AD3DEA" w14:textId="77777777" w:rsidR="00C375FC" w:rsidRPr="009C32EE" w:rsidRDefault="00C375FC" w:rsidP="00C375FC">
      <w:pPr>
        <w:pStyle w:val="Default"/>
        <w:jc w:val="both"/>
        <w:rPr>
          <w:rFonts w:ascii="Arial" w:hAnsi="Arial" w:cs="Arial"/>
          <w:color w:val="auto"/>
          <w:sz w:val="22"/>
          <w:szCs w:val="22"/>
          <w:lang w:val="en-US" w:eastAsia="en-US"/>
        </w:rPr>
      </w:pPr>
      <w:r w:rsidRPr="009C32EE">
        <w:rPr>
          <w:rFonts w:ascii="Arial" w:hAnsi="Arial" w:cs="Arial"/>
          <w:color w:val="auto"/>
          <w:sz w:val="22"/>
          <w:szCs w:val="22"/>
          <w:lang w:val="en-US" w:eastAsia="en-US"/>
        </w:rPr>
        <w:t>Holland AJA, King PA. INTRAVESICAL THERAPY FOR THE TREATMENT OF NEUROGENIC BLADDER IN CHILDREN. Australian and New Zealand Journal of Surgery 1997;67:731.3.</w:t>
      </w:r>
    </w:p>
    <w:p w14:paraId="0E2D005E" w14:textId="77777777" w:rsidR="00C375FC" w:rsidRPr="009C32EE" w:rsidRDefault="00C375FC" w:rsidP="00C375FC">
      <w:pPr>
        <w:pStyle w:val="Text"/>
        <w:spacing w:line="276" w:lineRule="auto"/>
        <w:rPr>
          <w:rFonts w:ascii="Arial" w:eastAsia="Times New Roman" w:hAnsi="Arial" w:cs="Arial"/>
          <w:sz w:val="22"/>
          <w:szCs w:val="22"/>
          <w:lang w:eastAsia="en-US"/>
        </w:rPr>
      </w:pPr>
    </w:p>
    <w:p w14:paraId="6F73DF20" w14:textId="77777777" w:rsidR="00C375FC" w:rsidRPr="009C32EE" w:rsidRDefault="00C375FC" w:rsidP="00C375FC">
      <w:pPr>
        <w:pStyle w:val="Text"/>
        <w:spacing w:line="276" w:lineRule="auto"/>
        <w:rPr>
          <w:rFonts w:ascii="Arial" w:eastAsia="Times New Roman" w:hAnsi="Arial" w:cs="Arial"/>
          <w:sz w:val="22"/>
          <w:szCs w:val="22"/>
          <w:lang w:eastAsia="en-US"/>
        </w:rPr>
      </w:pPr>
      <w:r w:rsidRPr="009C32EE">
        <w:rPr>
          <w:rFonts w:ascii="Arial" w:eastAsia="Times New Roman" w:hAnsi="Arial" w:cs="Arial"/>
          <w:sz w:val="22"/>
          <w:szCs w:val="22"/>
          <w:lang w:eastAsia="en-US"/>
        </w:rPr>
        <w:t>Kavanagh, A., R. Baverstock, L. Campeau, K. Carlson, A. Cox, D. Hickling, G. Nadeau, L. Stothers and B. Welk (2019). "Canadian Urological Association guideline: Diagnosis, management, and surveillance of neurogenic lower urinary tract dysfunction - Full text." Can Urol Assoc J 13(6): E157-e176.</w:t>
      </w:r>
    </w:p>
    <w:p w14:paraId="4B43CBAE" w14:textId="77777777" w:rsidR="00C375FC" w:rsidRPr="009C32EE" w:rsidRDefault="00C375FC" w:rsidP="00C375FC">
      <w:pPr>
        <w:pStyle w:val="Text"/>
        <w:spacing w:line="276" w:lineRule="auto"/>
        <w:rPr>
          <w:rFonts w:ascii="Arial" w:eastAsia="Times New Roman" w:hAnsi="Arial" w:cs="Arial"/>
          <w:sz w:val="22"/>
          <w:szCs w:val="22"/>
          <w:lang w:eastAsia="en-US"/>
        </w:rPr>
      </w:pPr>
    </w:p>
    <w:p w14:paraId="02E9B233" w14:textId="77777777" w:rsidR="00C375FC" w:rsidRPr="009C32EE" w:rsidRDefault="00C375FC" w:rsidP="00C375FC">
      <w:pPr>
        <w:pStyle w:val="Text"/>
        <w:spacing w:line="276" w:lineRule="auto"/>
        <w:rPr>
          <w:rFonts w:ascii="Arial" w:eastAsia="Times New Roman" w:hAnsi="Arial" w:cs="Arial"/>
          <w:sz w:val="22"/>
          <w:szCs w:val="22"/>
          <w:lang w:eastAsia="en-US"/>
        </w:rPr>
      </w:pPr>
      <w:r w:rsidRPr="009C32EE">
        <w:rPr>
          <w:rFonts w:ascii="Arial" w:eastAsia="Times New Roman" w:hAnsi="Arial" w:cs="Arial"/>
          <w:sz w:val="22"/>
          <w:szCs w:val="22"/>
          <w:lang w:eastAsia="en-US"/>
        </w:rPr>
        <w:t>Mizunaga, M., M. Miyata, S. Kaneko, S. Yachiku and K. Chiba (1994). "Intravesical instillation of oxybutynin hydrochloride therapy for patients with a neuropathic bladder." Paraplegia 32(1): 25-29.</w:t>
      </w:r>
    </w:p>
    <w:p w14:paraId="5A65F5CA" w14:textId="77777777" w:rsidR="00C375FC" w:rsidRPr="009C32EE" w:rsidRDefault="00C375FC" w:rsidP="00C375FC">
      <w:pPr>
        <w:pStyle w:val="Text"/>
        <w:spacing w:line="276" w:lineRule="auto"/>
        <w:rPr>
          <w:rFonts w:ascii="Arial" w:eastAsia="Times New Roman" w:hAnsi="Arial" w:cs="Arial"/>
          <w:sz w:val="22"/>
          <w:szCs w:val="22"/>
          <w:lang w:eastAsia="en-US"/>
        </w:rPr>
      </w:pPr>
    </w:p>
    <w:p w14:paraId="1493271F" w14:textId="77777777" w:rsidR="00C375FC" w:rsidRPr="009C32EE" w:rsidRDefault="00C375FC" w:rsidP="00C375FC">
      <w:pPr>
        <w:pStyle w:val="Text"/>
        <w:spacing w:line="276" w:lineRule="auto"/>
        <w:rPr>
          <w:rFonts w:ascii="Arial" w:eastAsia="Times New Roman" w:hAnsi="Arial" w:cs="Arial"/>
          <w:sz w:val="22"/>
          <w:szCs w:val="22"/>
          <w:lang w:val="de-CH" w:eastAsia="en-US"/>
        </w:rPr>
      </w:pPr>
      <w:r w:rsidRPr="009C32EE">
        <w:rPr>
          <w:rFonts w:ascii="Arial" w:eastAsia="Times New Roman" w:hAnsi="Arial" w:cs="Arial"/>
          <w:sz w:val="22"/>
          <w:szCs w:val="22"/>
          <w:lang w:eastAsia="en-US"/>
        </w:rPr>
        <w:t xml:space="preserve">Rios, L. A., M. A. Averbeck and H. E. Madersbacher (2019). "Neuro-Urology: A Manual For Clinical Practice." </w:t>
      </w:r>
      <w:r w:rsidRPr="009C32EE">
        <w:rPr>
          <w:rFonts w:ascii="Arial" w:eastAsia="Times New Roman" w:hAnsi="Arial" w:cs="Arial"/>
          <w:sz w:val="22"/>
          <w:szCs w:val="22"/>
          <w:lang w:val="de-CH" w:eastAsia="en-US"/>
        </w:rPr>
        <w:t>2nd edition, SÃO PAULO, 2019.</w:t>
      </w:r>
    </w:p>
    <w:p w14:paraId="6C50877B" w14:textId="77777777" w:rsidR="00C375FC" w:rsidRPr="009C32EE" w:rsidRDefault="00C375FC" w:rsidP="00C375FC">
      <w:pPr>
        <w:pStyle w:val="Text"/>
        <w:spacing w:line="276" w:lineRule="auto"/>
        <w:rPr>
          <w:rFonts w:ascii="Arial" w:eastAsia="Times New Roman" w:hAnsi="Arial" w:cs="Arial"/>
          <w:sz w:val="22"/>
          <w:szCs w:val="22"/>
          <w:lang w:val="de-CH" w:eastAsia="en-US"/>
        </w:rPr>
      </w:pPr>
    </w:p>
    <w:p w14:paraId="686A74DD" w14:textId="77777777" w:rsidR="00C375FC" w:rsidRPr="009C32EE" w:rsidRDefault="00C375FC" w:rsidP="00C375FC">
      <w:pPr>
        <w:pStyle w:val="Text"/>
        <w:spacing w:line="276" w:lineRule="auto"/>
        <w:rPr>
          <w:rFonts w:ascii="Arial" w:eastAsia="Times New Roman" w:hAnsi="Arial" w:cs="Arial"/>
          <w:sz w:val="22"/>
          <w:szCs w:val="22"/>
          <w:lang w:val="de-CH" w:eastAsia="en-US"/>
        </w:rPr>
      </w:pPr>
      <w:r w:rsidRPr="009C32EE">
        <w:rPr>
          <w:rFonts w:ascii="Arial" w:eastAsia="Times New Roman" w:hAnsi="Arial" w:cs="Arial"/>
          <w:sz w:val="22"/>
          <w:szCs w:val="22"/>
          <w:lang w:val="de-CH" w:eastAsia="en-US"/>
        </w:rPr>
        <w:t xml:space="preserve">Schröder, A., U. Albrecht, J. Schnitker, A. Reitz and R. Stein (2016). </w:t>
      </w:r>
      <w:r w:rsidRPr="009C32EE">
        <w:rPr>
          <w:rFonts w:ascii="Arial" w:eastAsia="Times New Roman" w:hAnsi="Arial" w:cs="Arial"/>
          <w:sz w:val="22"/>
          <w:szCs w:val="22"/>
          <w:lang w:eastAsia="en-US"/>
        </w:rPr>
        <w:t xml:space="preserve">"Efficacy, safety, and tolerability of intravesically administered 0.1% oxybutynin hydrochloride solution in adult patients with neurogenic bladder: A randomized, prospective, controlled multi-center trial." </w:t>
      </w:r>
      <w:r w:rsidRPr="009C32EE">
        <w:rPr>
          <w:rFonts w:ascii="Arial" w:eastAsia="Times New Roman" w:hAnsi="Arial" w:cs="Arial"/>
          <w:sz w:val="22"/>
          <w:szCs w:val="22"/>
          <w:lang w:val="de-CH" w:eastAsia="en-US"/>
        </w:rPr>
        <w:t>Neurourology and Urodynamics 35(5): 582-588.</w:t>
      </w:r>
    </w:p>
    <w:p w14:paraId="571233CD" w14:textId="77777777" w:rsidR="00C375FC" w:rsidRPr="009C32EE" w:rsidRDefault="00C375FC" w:rsidP="00C375FC">
      <w:pPr>
        <w:pStyle w:val="Text"/>
        <w:spacing w:line="276" w:lineRule="auto"/>
        <w:rPr>
          <w:rFonts w:ascii="Arial" w:eastAsia="Times New Roman" w:hAnsi="Arial" w:cs="Arial"/>
          <w:lang w:val="de-CH"/>
        </w:rPr>
      </w:pPr>
    </w:p>
    <w:p w14:paraId="705A206D" w14:textId="77777777" w:rsidR="00C375FC" w:rsidRPr="009C32EE" w:rsidRDefault="00C375FC" w:rsidP="00C375FC">
      <w:pPr>
        <w:pStyle w:val="Default"/>
        <w:jc w:val="both"/>
        <w:rPr>
          <w:sz w:val="20"/>
          <w:szCs w:val="20"/>
        </w:rPr>
      </w:pPr>
    </w:p>
    <w:p w14:paraId="4C9AF773" w14:textId="77777777" w:rsidR="00C375FC" w:rsidRPr="009C32EE" w:rsidRDefault="00C375FC" w:rsidP="00C375FC">
      <w:pPr>
        <w:pStyle w:val="Default"/>
        <w:jc w:val="both"/>
        <w:rPr>
          <w:sz w:val="20"/>
          <w:szCs w:val="20"/>
        </w:rPr>
      </w:pPr>
    </w:p>
    <w:p w14:paraId="7013C85F" w14:textId="77777777" w:rsidR="00C375FC" w:rsidRPr="009C32EE" w:rsidRDefault="00C375FC" w:rsidP="00C375FC">
      <w:pPr>
        <w:pStyle w:val="Default"/>
        <w:jc w:val="both"/>
        <w:rPr>
          <w:sz w:val="20"/>
          <w:szCs w:val="20"/>
          <w:lang w:val="en-US"/>
        </w:rPr>
      </w:pPr>
    </w:p>
    <w:p w14:paraId="41FADD4C" w14:textId="77777777" w:rsidR="00C375FC" w:rsidRPr="00500E57" w:rsidRDefault="00C375FC" w:rsidP="00C375FC">
      <w:pPr>
        <w:pStyle w:val="Text"/>
        <w:spacing w:line="276" w:lineRule="auto"/>
      </w:pPr>
      <w:r w:rsidRPr="009C32EE">
        <w:rPr>
          <w:rFonts w:ascii="Arial" w:eastAsia="Times New Roman" w:hAnsi="Arial" w:cs="Arial"/>
          <w:sz w:val="22"/>
          <w:szCs w:val="22"/>
          <w:lang w:val="de-CH" w:eastAsia="en-US"/>
        </w:rPr>
        <w:fldChar w:fldCharType="end"/>
      </w:r>
    </w:p>
    <w:p w14:paraId="50087EF4" w14:textId="77777777" w:rsidR="00C375FC" w:rsidRPr="00D169DF" w:rsidRDefault="00C375FC" w:rsidP="00C375FC">
      <w:pPr>
        <w:rPr>
          <w:rFonts w:ascii="Arial" w:eastAsia="MS Mincho" w:hAnsi="Arial" w:cs="Arial"/>
          <w:sz w:val="16"/>
          <w:szCs w:val="16"/>
          <w:lang w:val="en-US" w:eastAsia="ja-JP"/>
        </w:rPr>
      </w:pPr>
    </w:p>
    <w:p w14:paraId="70FB4861" w14:textId="77777777" w:rsidR="00C375FC" w:rsidRPr="00D169DF" w:rsidRDefault="00C375FC" w:rsidP="00C375FC">
      <w:pPr>
        <w:pStyle w:val="Default"/>
        <w:spacing w:after="240"/>
        <w:jc w:val="both"/>
        <w:rPr>
          <w:rFonts w:ascii="Arial" w:eastAsia="MS Mincho" w:hAnsi="Arial" w:cs="Arial"/>
          <w:sz w:val="16"/>
          <w:szCs w:val="16"/>
          <w:lang w:val="en-US" w:eastAsia="ja-JP"/>
        </w:rPr>
      </w:pPr>
    </w:p>
    <w:p w14:paraId="7314A719" w14:textId="77777777" w:rsidR="00C375FC" w:rsidRPr="000671D8" w:rsidRDefault="00C375FC" w:rsidP="00C375FC">
      <w:pPr>
        <w:pStyle w:val="Text"/>
        <w:spacing w:line="276" w:lineRule="auto"/>
        <w:rPr>
          <w:rFonts w:ascii="Arial" w:eastAsia="Times New Roman" w:hAnsi="Arial" w:cs="Arial"/>
          <w:sz w:val="22"/>
          <w:szCs w:val="22"/>
          <w:lang w:val="de-CH" w:eastAsia="en-US"/>
        </w:rPr>
      </w:pPr>
    </w:p>
    <w:p w14:paraId="7A0410E9" w14:textId="77777777" w:rsidR="00705FAC" w:rsidRDefault="00705FAC"/>
    <w:sectPr w:rsidR="00705F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5289"/>
    <w:multiLevelType w:val="hybridMultilevel"/>
    <w:tmpl w:val="84F2DB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FC"/>
    <w:rsid w:val="00511DAD"/>
    <w:rsid w:val="00705FAC"/>
    <w:rsid w:val="00C37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6C11"/>
  <w15:chartTrackingRefBased/>
  <w15:docId w15:val="{A000B2F1-9C6E-4AA6-B4A3-A8C2CDF6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5FC"/>
    <w:pPr>
      <w:spacing w:after="0" w:line="240" w:lineRule="auto"/>
    </w:pPr>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Char1"/>
    <w:rsid w:val="00C375FC"/>
    <w:pPr>
      <w:spacing w:before="120"/>
      <w:jc w:val="both"/>
    </w:pPr>
    <w:rPr>
      <w:rFonts w:eastAsia="MS Mincho"/>
      <w:szCs w:val="20"/>
      <w:lang w:val="en-US" w:eastAsia="ja-JP"/>
    </w:rPr>
  </w:style>
  <w:style w:type="character" w:customStyle="1" w:styleId="TextChar1">
    <w:name w:val="Text Char1"/>
    <w:link w:val="Text"/>
    <w:locked/>
    <w:rsid w:val="00C375FC"/>
    <w:rPr>
      <w:rFonts w:ascii="Times New Roman" w:eastAsia="MS Mincho" w:hAnsi="Times New Roman" w:cs="Times New Roman"/>
      <w:sz w:val="24"/>
      <w:szCs w:val="20"/>
      <w:lang w:val="en-US" w:eastAsia="ja-JP"/>
    </w:rPr>
  </w:style>
  <w:style w:type="paragraph" w:styleId="Textkrper">
    <w:name w:val="Body Text"/>
    <w:basedOn w:val="Standard"/>
    <w:link w:val="TextkrperZchn"/>
    <w:semiHidden/>
    <w:rsid w:val="00C375FC"/>
    <w:rPr>
      <w:rFonts w:ascii="Arial" w:hAnsi="Arial"/>
      <w:b/>
      <w:bCs/>
      <w:sz w:val="20"/>
      <w:szCs w:val="20"/>
      <w:lang w:val="de-CH"/>
    </w:rPr>
  </w:style>
  <w:style w:type="character" w:customStyle="1" w:styleId="TextkrperZchn">
    <w:name w:val="Textkörper Zchn"/>
    <w:basedOn w:val="Absatz-Standardschriftart"/>
    <w:link w:val="Textkrper"/>
    <w:semiHidden/>
    <w:rsid w:val="00C375FC"/>
    <w:rPr>
      <w:rFonts w:ascii="Arial" w:eastAsia="Times New Roman" w:hAnsi="Arial" w:cs="Times New Roman"/>
      <w:b/>
      <w:bCs/>
      <w:sz w:val="20"/>
      <w:szCs w:val="20"/>
      <w:lang w:val="de-CH"/>
    </w:rPr>
  </w:style>
  <w:style w:type="paragraph" w:styleId="Fuzeile">
    <w:name w:val="footer"/>
    <w:basedOn w:val="Standard"/>
    <w:link w:val="FuzeileZchn"/>
    <w:unhideWhenUsed/>
    <w:rsid w:val="00C375FC"/>
    <w:pPr>
      <w:tabs>
        <w:tab w:val="center" w:pos="4536"/>
        <w:tab w:val="right" w:pos="9072"/>
      </w:tabs>
    </w:pPr>
    <w:rPr>
      <w:rFonts w:ascii="Arial" w:hAnsi="Arial"/>
      <w:szCs w:val="20"/>
    </w:rPr>
  </w:style>
  <w:style w:type="character" w:customStyle="1" w:styleId="FuzeileZchn">
    <w:name w:val="Fußzeile Zchn"/>
    <w:basedOn w:val="Absatz-Standardschriftart"/>
    <w:link w:val="Fuzeile"/>
    <w:rsid w:val="00C375FC"/>
    <w:rPr>
      <w:rFonts w:ascii="Arial" w:eastAsia="Times New Roman" w:hAnsi="Arial" w:cs="Times New Roman"/>
      <w:sz w:val="24"/>
      <w:szCs w:val="20"/>
      <w:lang w:val="en-GB"/>
    </w:rPr>
  </w:style>
  <w:style w:type="paragraph" w:styleId="Listenabsatz">
    <w:name w:val="List Paragraph"/>
    <w:basedOn w:val="Standard"/>
    <w:uiPriority w:val="34"/>
    <w:qFormat/>
    <w:rsid w:val="00C375FC"/>
    <w:pPr>
      <w:spacing w:after="200" w:line="276" w:lineRule="auto"/>
      <w:ind w:left="720"/>
      <w:contextualSpacing/>
    </w:pPr>
    <w:rPr>
      <w:rFonts w:ascii="Calibri" w:hAnsi="Calibri"/>
      <w:sz w:val="22"/>
      <w:szCs w:val="22"/>
      <w:lang w:val="de-AT"/>
    </w:rPr>
  </w:style>
  <w:style w:type="paragraph" w:customStyle="1" w:styleId="Default">
    <w:name w:val="Default"/>
    <w:rsid w:val="00C375FC"/>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8005</Characters>
  <Application>Microsoft Office Word</Application>
  <DocSecurity>0</DocSecurity>
  <Lines>66</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 Silvia</dc:creator>
  <cp:keywords/>
  <dc:description/>
  <cp:lastModifiedBy>Wyss, Silvia</cp:lastModifiedBy>
  <cp:revision>2</cp:revision>
  <dcterms:created xsi:type="dcterms:W3CDTF">2022-07-27T13:03:00Z</dcterms:created>
  <dcterms:modified xsi:type="dcterms:W3CDTF">2022-07-27T13:10:00Z</dcterms:modified>
</cp:coreProperties>
</file>